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jc w:val="center"/>
        <w:rPr>
          <w:rFonts w:hint="eastAsia" w:ascii="方正小标宋简体" w:hAnsi="宋体" w:eastAsia="方正小标宋简体" w:cs="宋体"/>
          <w:sz w:val="44"/>
          <w:szCs w:val="44"/>
        </w:rPr>
      </w:pPr>
      <w:bookmarkStart w:id="0" w:name="OLE_LINK22"/>
      <w:bookmarkStart w:id="1" w:name="OLE_LINK29"/>
      <w:bookmarkStart w:id="2" w:name="OLE_LINK23"/>
      <w:bookmarkStart w:id="3" w:name="OLE_LINK1"/>
      <w:r>
        <w:rPr>
          <w:rFonts w:hint="eastAsia" w:ascii="方正小标宋简体" w:hAnsi="宋体" w:eastAsia="方正小标宋简体" w:cs="宋体"/>
          <w:color w:val="000000" w:themeColor="text1"/>
          <w:sz w:val="44"/>
          <w:szCs w:val="44"/>
          <w14:textFill>
            <w14:solidFill>
              <w14:schemeClr w14:val="tx1"/>
            </w14:solidFill>
          </w14:textFill>
        </w:rPr>
        <w:t>2024年度横琴粤澳深度合作区前沿技术应用场景支持</w:t>
      </w:r>
      <w:bookmarkStart w:id="4" w:name="OLE_LINK3"/>
      <w:bookmarkStart w:id="5" w:name="OLE_LINK2"/>
      <w:r>
        <w:rPr>
          <w:rFonts w:hint="eastAsia" w:ascii="方正小标宋简体" w:hAnsi="宋体" w:eastAsia="方正小标宋简体" w:cs="宋体"/>
          <w:color w:val="000000" w:themeColor="text1"/>
          <w:sz w:val="44"/>
          <w:szCs w:val="44"/>
          <w14:textFill>
            <w14:solidFill>
              <w14:schemeClr w14:val="tx1"/>
            </w14:solidFill>
          </w14:textFill>
        </w:rPr>
        <w:t>项目</w:t>
      </w:r>
      <w:bookmarkEnd w:id="0"/>
      <w:bookmarkEnd w:id="1"/>
      <w:r>
        <w:rPr>
          <w:rFonts w:hint="eastAsia" w:ascii="方正小标宋简体" w:hAnsi="宋体" w:eastAsia="方正小标宋简体" w:cs="宋体"/>
          <w:color w:val="000000" w:themeColor="text1"/>
          <w:sz w:val="44"/>
          <w:szCs w:val="44"/>
          <w14:textFill>
            <w14:solidFill>
              <w14:schemeClr w14:val="tx1"/>
            </w14:solidFill>
          </w14:textFill>
        </w:rPr>
        <w:t>申报</w:t>
      </w:r>
      <w:bookmarkEnd w:id="4"/>
      <w:bookmarkEnd w:id="5"/>
      <w:r>
        <w:rPr>
          <w:rFonts w:hint="eastAsia" w:ascii="方正小标宋简体" w:hAnsi="宋体" w:eastAsia="方正小标宋简体" w:cs="宋体"/>
          <w:color w:val="000000" w:themeColor="text1"/>
          <w:sz w:val="44"/>
          <w:szCs w:val="44"/>
          <w14:textFill>
            <w14:solidFill>
              <w14:schemeClr w14:val="tx1"/>
            </w14:solidFill>
          </w14:textFill>
        </w:rPr>
        <w:t>指南</w:t>
      </w:r>
      <w:bookmarkEnd w:id="2"/>
      <w:bookmarkEnd w:id="3"/>
    </w:p>
    <w:p>
      <w:pPr>
        <w:pStyle w:val="15"/>
        <w:adjustRightInd w:val="0"/>
        <w:snapToGrid w:val="0"/>
        <w:spacing w:line="579" w:lineRule="exact"/>
        <w:ind w:firstLine="0" w:firstLineChars="0"/>
        <w:jc w:val="left"/>
        <w:rPr>
          <w:rFonts w:ascii="Times New Roman" w:hAnsi="Times New Roman" w:eastAsia="黑体" w:cs="Times New Roman"/>
          <w:color w:val="000000" w:themeColor="text1"/>
          <w:sz w:val="32"/>
          <w:szCs w:val="32"/>
          <w14:textFill>
            <w14:solidFill>
              <w14:schemeClr w14:val="tx1"/>
            </w14:solidFill>
          </w14:textFill>
        </w:rPr>
      </w:pPr>
    </w:p>
    <w:p>
      <w:pPr>
        <w:pStyle w:val="15"/>
        <w:adjustRightInd w:val="0"/>
        <w:snapToGrid w:val="0"/>
        <w:spacing w:line="312" w:lineRule="auto"/>
        <w:ind w:firstLine="640"/>
        <w:jc w:val="left"/>
        <w:outlineLvl w:val="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一、文件依据</w:t>
      </w:r>
    </w:p>
    <w:p>
      <w:pPr>
        <w:snapToGrid w:val="0"/>
        <w:spacing w:line="312" w:lineRule="auto"/>
        <w:ind w:firstLine="640" w:firstLineChars="200"/>
        <w:jc w:val="left"/>
        <w:rPr>
          <w:rFonts w:ascii="仿宋_GB2312" w:hAnsi="仿宋_GB2312" w:eastAsia="仿宋_GB2312"/>
          <w:sz w:val="32"/>
          <w:szCs w:val="24"/>
        </w:rPr>
      </w:pPr>
      <w:r>
        <w:rPr>
          <w:rFonts w:hint="eastAsia" w:ascii="仿宋_GB2312" w:hAnsi="仿宋_GB2312" w:eastAsia="仿宋_GB2312"/>
          <w:sz w:val="32"/>
          <w:szCs w:val="24"/>
        </w:rPr>
        <w:t>《横琴粤澳深度合作区支持研发及成果转化实施办法》（第9/2024号执行委员会经济发展局规范性文件）</w:t>
      </w:r>
      <w:r>
        <w:rPr>
          <w:rFonts w:ascii="仿宋_GB2312" w:hAnsi="仿宋_GB2312" w:eastAsia="仿宋_GB2312"/>
          <w:sz w:val="32"/>
          <w:szCs w:val="24"/>
        </w:rPr>
        <w:t>（附件1）</w:t>
      </w:r>
      <w:r>
        <w:rPr>
          <w:rFonts w:hint="eastAsia" w:ascii="仿宋_GB2312" w:hAnsi="仿宋_GB2312" w:eastAsia="仿宋_GB2312"/>
          <w:sz w:val="32"/>
          <w:szCs w:val="24"/>
        </w:rPr>
        <w:t>。</w:t>
      </w:r>
    </w:p>
    <w:p>
      <w:pPr>
        <w:pStyle w:val="15"/>
        <w:adjustRightInd w:val="0"/>
        <w:snapToGrid w:val="0"/>
        <w:spacing w:line="312" w:lineRule="auto"/>
        <w:ind w:firstLine="640"/>
        <w:outlineLvl w:val="0"/>
        <w:rPr>
          <w:rFonts w:ascii="Times New Roman" w:hAnsi="Times New Roman" w:eastAsia="黑体" w:cs="Times New Roman"/>
          <w:color w:val="000000" w:themeColor="text1"/>
          <w:sz w:val="32"/>
          <w:szCs w:val="32"/>
          <w14:textFill>
            <w14:solidFill>
              <w14:schemeClr w14:val="tx1"/>
            </w14:solidFill>
          </w14:textFill>
        </w:rPr>
      </w:pPr>
      <w:r>
        <w:rPr>
          <w:rFonts w:hint="eastAsia" w:ascii="Times New Roman" w:hAnsi="Times New Roman" w:eastAsia="黑体" w:cs="Times New Roman"/>
          <w:color w:val="000000" w:themeColor="text1"/>
          <w:sz w:val="32"/>
          <w:szCs w:val="32"/>
          <w14:textFill>
            <w14:solidFill>
              <w14:schemeClr w14:val="tx1"/>
            </w14:solidFill>
          </w14:textFill>
        </w:rPr>
        <w:t>二</w:t>
      </w:r>
      <w:r>
        <w:rPr>
          <w:rFonts w:ascii="Times New Roman" w:hAnsi="Times New Roman" w:eastAsia="黑体" w:cs="Times New Roman"/>
          <w:color w:val="000000" w:themeColor="text1"/>
          <w:sz w:val="32"/>
          <w:szCs w:val="32"/>
          <w14:textFill>
            <w14:solidFill>
              <w14:schemeClr w14:val="tx1"/>
            </w14:solidFill>
          </w14:textFill>
        </w:rPr>
        <w:t>、申报</w:t>
      </w:r>
      <w:r>
        <w:rPr>
          <w:rFonts w:hint="eastAsia" w:ascii="Times New Roman" w:hAnsi="Times New Roman" w:eastAsia="黑体" w:cs="Times New Roman"/>
          <w:color w:val="000000" w:themeColor="text1"/>
          <w:sz w:val="32"/>
          <w:szCs w:val="32"/>
          <w14:textFill>
            <w14:solidFill>
              <w14:schemeClr w14:val="tx1"/>
            </w14:solidFill>
          </w14:textFill>
        </w:rPr>
        <w:t>条件</w:t>
      </w:r>
    </w:p>
    <w:p>
      <w:pPr>
        <w:snapToGrid w:val="0"/>
        <w:spacing w:line="312" w:lineRule="auto"/>
        <w:ind w:firstLine="640" w:firstLineChars="200"/>
        <w:jc w:val="left"/>
        <w:rPr>
          <w:rFonts w:ascii="仿宋_GB2312" w:hAnsi="仿宋_GB2312" w:eastAsia="仿宋_GB2312"/>
          <w:sz w:val="32"/>
          <w:szCs w:val="24"/>
        </w:rPr>
      </w:pPr>
      <w:r>
        <w:rPr>
          <w:rFonts w:hint="eastAsia" w:ascii="仿宋_GB2312" w:hAnsi="仿宋_GB2312" w:eastAsia="仿宋_GB2312"/>
          <w:sz w:val="32"/>
          <w:szCs w:val="24"/>
        </w:rPr>
        <w:t>申请单位必须同时满足下列条件：</w:t>
      </w:r>
    </w:p>
    <w:p>
      <w:pPr>
        <w:snapToGrid w:val="0"/>
        <w:spacing w:line="312" w:lineRule="auto"/>
        <w:ind w:firstLine="640" w:firstLineChars="200"/>
        <w:jc w:val="left"/>
        <w:rPr>
          <w:rFonts w:ascii="仿宋_GB2312" w:hAnsi="仿宋_GB2312" w:eastAsia="仿宋_GB2312"/>
          <w:sz w:val="32"/>
          <w:szCs w:val="24"/>
        </w:rPr>
      </w:pPr>
      <w:r>
        <w:rPr>
          <w:rFonts w:hint="eastAsia" w:ascii="仿宋_GB2312" w:hAnsi="仿宋_GB2312" w:eastAsia="仿宋_GB2312"/>
          <w:sz w:val="32"/>
          <w:szCs w:val="24"/>
        </w:rPr>
        <w:t>1.注册地、税务征管关系、统计关系在</w:t>
      </w:r>
      <w:r>
        <w:rPr>
          <w:rFonts w:ascii="仿宋_GB2312" w:hAnsi="仿宋_GB2312" w:eastAsia="仿宋_GB2312"/>
          <w:sz w:val="32"/>
          <w:szCs w:val="24"/>
        </w:rPr>
        <w:t>在横琴粤澳深度合作区（以下简称合作区）</w:t>
      </w:r>
      <w:r>
        <w:rPr>
          <w:rFonts w:hint="eastAsia" w:ascii="仿宋_GB2312" w:hAnsi="仿宋_GB2312" w:eastAsia="仿宋_GB2312"/>
          <w:sz w:val="32"/>
          <w:szCs w:val="24"/>
        </w:rPr>
        <w:t>，具有独立法人资格，具备规范的财务管理制度，在合作区实质性运营的企业或机构。</w:t>
      </w:r>
    </w:p>
    <w:p>
      <w:pPr>
        <w:snapToGrid w:val="0"/>
        <w:spacing w:line="312" w:lineRule="auto"/>
        <w:ind w:firstLine="640" w:firstLineChars="200"/>
        <w:jc w:val="left"/>
        <w:rPr>
          <w:rFonts w:ascii="仿宋_GB2312" w:hAnsi="仿宋_GB2312" w:eastAsia="仿宋_GB2312"/>
          <w:sz w:val="32"/>
          <w:szCs w:val="24"/>
        </w:rPr>
      </w:pPr>
      <w:r>
        <w:rPr>
          <w:rFonts w:hint="eastAsia" w:ascii="仿宋_GB2312" w:hAnsi="仿宋_GB2312" w:eastAsia="仿宋_GB2312"/>
          <w:sz w:val="32"/>
          <w:szCs w:val="24"/>
        </w:rPr>
        <w:t>2.满足于合作区实质性运营，该认定标准按照第2/2023 号执行委会规范性文件《横琴粤澳深度合作区企业实质性运营认定规则》（附件2）相关规定执行。</w:t>
      </w:r>
    </w:p>
    <w:p>
      <w:pPr>
        <w:pStyle w:val="15"/>
        <w:adjustRightInd w:val="0"/>
        <w:snapToGrid w:val="0"/>
        <w:spacing w:line="312" w:lineRule="auto"/>
        <w:ind w:firstLine="640"/>
        <w:outlineLvl w:val="0"/>
        <w:rPr>
          <w:rFonts w:ascii="Times New Roman" w:hAnsi="Times New Roman" w:eastAsia="黑体" w:cs="Times New Roman"/>
          <w:color w:val="000000" w:themeColor="text1"/>
          <w:sz w:val="32"/>
          <w:szCs w:val="32"/>
          <w14:textFill>
            <w14:solidFill>
              <w14:schemeClr w14:val="tx1"/>
            </w14:solidFill>
          </w14:textFill>
        </w:rPr>
      </w:pPr>
      <w:r>
        <w:rPr>
          <w:rFonts w:hint="eastAsia" w:ascii="Times New Roman" w:hAnsi="Times New Roman" w:eastAsia="黑体" w:cs="Times New Roman"/>
          <w:color w:val="000000" w:themeColor="text1"/>
          <w:sz w:val="32"/>
          <w:szCs w:val="32"/>
          <w14:textFill>
            <w14:solidFill>
              <w14:schemeClr w14:val="tx1"/>
            </w14:solidFill>
          </w14:textFill>
        </w:rPr>
        <w:t>三、支持方向</w:t>
      </w:r>
    </w:p>
    <w:p>
      <w:pPr>
        <w:snapToGrid w:val="0"/>
        <w:spacing w:line="312" w:lineRule="auto"/>
        <w:ind w:firstLine="640" w:firstLineChars="200"/>
        <w:jc w:val="left"/>
        <w:rPr>
          <w:rFonts w:ascii="仿宋_GB2312" w:hAnsi="仿宋_GB2312" w:eastAsia="仿宋_GB2312"/>
          <w:sz w:val="32"/>
          <w:szCs w:val="24"/>
        </w:rPr>
      </w:pPr>
      <w:r>
        <w:rPr>
          <w:rFonts w:hint="eastAsia" w:ascii="仿宋_GB2312" w:hAnsi="仿宋_GB2312" w:eastAsia="仿宋_GB2312"/>
          <w:sz w:val="32"/>
          <w:szCs w:val="24"/>
        </w:rPr>
        <w:t>方向一(独立建设应用前景）：支持合作区企业或者机构聚焦处于技术方案设计或商业化探索阶段的前沿技术领域，搭建创新体验中心和场景实验室，开展围绕前沿新技术新产品和解决方案的展示体验及测试验证。</w:t>
      </w:r>
    </w:p>
    <w:p>
      <w:pPr>
        <w:snapToGrid w:val="0"/>
        <w:spacing w:line="312" w:lineRule="auto"/>
        <w:ind w:firstLine="640" w:firstLineChars="200"/>
        <w:jc w:val="left"/>
        <w:rPr>
          <w:rFonts w:ascii="仿宋_GB2312" w:hAnsi="仿宋_GB2312" w:eastAsia="仿宋_GB2312"/>
          <w:sz w:val="32"/>
          <w:szCs w:val="24"/>
        </w:rPr>
      </w:pPr>
      <w:r>
        <w:rPr>
          <w:rFonts w:hint="eastAsia" w:ascii="仿宋_GB2312" w:hAnsi="仿宋_GB2312" w:eastAsia="仿宋_GB2312"/>
          <w:sz w:val="32"/>
          <w:szCs w:val="24"/>
        </w:rPr>
        <w:t>方向二(联合建设应用前景</w:t>
      </w:r>
      <w:r>
        <w:rPr>
          <w:rFonts w:ascii="仿宋_GB2312" w:hAnsi="仿宋_GB2312" w:eastAsia="仿宋_GB2312"/>
          <w:sz w:val="32"/>
          <w:szCs w:val="24"/>
        </w:rPr>
        <w:t>)</w:t>
      </w:r>
      <w:r>
        <w:rPr>
          <w:rFonts w:hint="eastAsia" w:ascii="仿宋_GB2312" w:hAnsi="仿宋_GB2312" w:eastAsia="仿宋_GB2312"/>
          <w:sz w:val="32"/>
          <w:szCs w:val="24"/>
        </w:rPr>
        <w:t>：支持合作</w:t>
      </w:r>
      <w:r>
        <w:rPr>
          <w:rFonts w:hint="eastAsia" w:ascii="Times New Roman" w:hAnsi="Times New Roman" w:eastAsia="仿宋_GB2312"/>
          <w:sz w:val="32"/>
          <w:szCs w:val="32"/>
        </w:rPr>
        <w:t>区内企业或机构，联合大湾区内的企业或机构，聚焦前沿技术领域，共建创新体验中心、场景实验室、场景开放试点等，推动区内企业或机构的新技术、新产品和解决方案在行业标杆用户、典型场景中得到试用校验。符合条件或拟开展相关应用场景共建的区内企业或机构，可于</w:t>
      </w:r>
      <w:r>
        <w:rPr>
          <w:rFonts w:ascii="仿宋_GB2312" w:hAnsi="仿宋_GB2312" w:eastAsia="仿宋_GB2312"/>
          <w:sz w:val="32"/>
        </w:rPr>
        <w:t>2025</w:t>
      </w:r>
      <w:r>
        <w:rPr>
          <w:rFonts w:ascii="Times New Roman" w:hAnsi="Times New Roman" w:eastAsia="仿宋_GB2312"/>
          <w:sz w:val="32"/>
          <w:szCs w:val="32"/>
        </w:rPr>
        <w:t>年</w:t>
      </w:r>
      <w:r>
        <w:rPr>
          <w:rFonts w:hint="eastAsia" w:ascii="Times New Roman" w:hAnsi="Times New Roman" w:eastAsia="仿宋_GB2312"/>
          <w:sz w:val="32"/>
          <w:szCs w:val="32"/>
        </w:rPr>
        <w:t>申请入库培育。</w:t>
      </w:r>
    </w:p>
    <w:p>
      <w:pPr>
        <w:pStyle w:val="15"/>
        <w:adjustRightInd w:val="0"/>
        <w:snapToGrid w:val="0"/>
        <w:spacing w:line="312" w:lineRule="auto"/>
        <w:ind w:firstLine="640"/>
        <w:outlineLvl w:val="0"/>
        <w:rPr>
          <w:rFonts w:ascii="Times New Roman" w:hAnsi="Times New Roman" w:eastAsia="黑体" w:cs="Times New Roman"/>
          <w:color w:val="000000" w:themeColor="text1"/>
          <w:sz w:val="32"/>
          <w:szCs w:val="32"/>
          <w14:textFill>
            <w14:solidFill>
              <w14:schemeClr w14:val="tx1"/>
            </w14:solidFill>
          </w14:textFill>
        </w:rPr>
      </w:pPr>
      <w:r>
        <w:rPr>
          <w:rFonts w:hint="eastAsia" w:ascii="Times New Roman" w:hAnsi="Times New Roman" w:eastAsia="黑体" w:cs="Times New Roman"/>
          <w:color w:val="000000" w:themeColor="text1"/>
          <w:sz w:val="32"/>
          <w:szCs w:val="32"/>
          <w14:textFill>
            <w14:solidFill>
              <w14:schemeClr w14:val="tx1"/>
            </w14:solidFill>
          </w14:textFill>
        </w:rPr>
        <w:t>四、资助标准</w:t>
      </w:r>
    </w:p>
    <w:p>
      <w:pPr>
        <w:snapToGrid w:val="0"/>
        <w:spacing w:line="312" w:lineRule="auto"/>
        <w:ind w:firstLine="640" w:firstLineChars="200"/>
        <w:jc w:val="left"/>
        <w:rPr>
          <w:rFonts w:ascii="仿宋_GB2312" w:hAnsi="仿宋_GB2312" w:eastAsia="仿宋_GB2312"/>
          <w:sz w:val="32"/>
          <w:szCs w:val="24"/>
        </w:rPr>
      </w:pPr>
      <w:r>
        <w:rPr>
          <w:rFonts w:ascii="仿宋_GB2312" w:hAnsi="仿宋_GB2312" w:eastAsia="仿宋_GB2312"/>
          <w:sz w:val="32"/>
          <w:szCs w:val="24"/>
        </w:rPr>
        <w:t>（</w:t>
      </w:r>
      <w:r>
        <w:rPr>
          <w:rFonts w:hint="eastAsia" w:ascii="仿宋_GB2312" w:hAnsi="仿宋_GB2312" w:eastAsia="仿宋_GB2312"/>
          <w:sz w:val="32"/>
          <w:szCs w:val="24"/>
        </w:rPr>
        <w:t>一</w:t>
      </w:r>
      <w:r>
        <w:rPr>
          <w:rFonts w:ascii="仿宋_GB2312" w:hAnsi="仿宋_GB2312" w:eastAsia="仿宋_GB2312"/>
          <w:sz w:val="32"/>
          <w:szCs w:val="24"/>
        </w:rPr>
        <w:t>）</w:t>
      </w:r>
      <w:r>
        <w:rPr>
          <w:rFonts w:hint="eastAsia" w:ascii="仿宋_GB2312" w:hAnsi="仿宋_GB2312" w:eastAsia="仿宋_GB2312"/>
          <w:sz w:val="32"/>
          <w:szCs w:val="24"/>
        </w:rPr>
        <w:t>经评审，对</w:t>
      </w:r>
      <w:r>
        <w:rPr>
          <w:rFonts w:hint="eastAsia" w:ascii="Times New Roman" w:hAnsi="Times New Roman" w:eastAsia="仿宋_GB2312"/>
          <w:sz w:val="32"/>
          <w:szCs w:val="32"/>
        </w:rPr>
        <w:t>符合方向一要</w:t>
      </w:r>
      <w:r>
        <w:rPr>
          <w:rFonts w:hint="eastAsia" w:ascii="仿宋_GB2312" w:hAnsi="仿宋_GB2312" w:eastAsia="仿宋_GB2312"/>
          <w:sz w:val="32"/>
        </w:rPr>
        <w:t>求且具有先进性示范性的应用场景</w:t>
      </w:r>
      <w:r>
        <w:rPr>
          <w:rFonts w:hint="eastAsia" w:ascii="仿宋_GB2312" w:hAnsi="仿宋_GB2312" w:eastAsia="仿宋_GB2312"/>
          <w:sz w:val="32"/>
          <w:szCs w:val="24"/>
        </w:rPr>
        <w:t>的企业或机构，</w:t>
      </w:r>
      <w:r>
        <w:rPr>
          <w:rFonts w:hint="eastAsia" w:ascii="仿宋_GB2312" w:hAnsi="仿宋_GB2312" w:eastAsia="仿宋_GB2312"/>
          <w:b/>
          <w:bCs/>
          <w:i/>
          <w:iCs/>
          <w:sz w:val="32"/>
          <w:u w:val="single"/>
        </w:rPr>
        <w:t>将按2023年1月1日起至</w:t>
      </w:r>
      <w:r>
        <w:rPr>
          <w:rFonts w:ascii="仿宋_GB2312" w:hAnsi="仿宋_GB2312" w:eastAsia="仿宋_GB2312"/>
          <w:b/>
          <w:bCs/>
          <w:i/>
          <w:iCs/>
          <w:sz w:val="32"/>
          <w:u w:val="single"/>
        </w:rPr>
        <w:t>2025年</w:t>
      </w:r>
      <w:r>
        <w:rPr>
          <w:rFonts w:hint="eastAsia" w:ascii="仿宋_GB2312" w:hAnsi="仿宋_GB2312" w:eastAsia="仿宋_GB2312"/>
          <w:b/>
          <w:bCs/>
          <w:i/>
          <w:iCs/>
          <w:sz w:val="32"/>
          <w:u w:val="single"/>
        </w:rPr>
        <w:t>申报</w:t>
      </w:r>
      <w:r>
        <w:rPr>
          <w:rFonts w:ascii="仿宋_GB2312" w:hAnsi="仿宋_GB2312" w:eastAsia="仿宋_GB2312"/>
          <w:b/>
          <w:bCs/>
          <w:i/>
          <w:iCs/>
          <w:sz w:val="32"/>
          <w:u w:val="single"/>
        </w:rPr>
        <w:t>指南发布</w:t>
      </w:r>
      <w:r>
        <w:rPr>
          <w:rFonts w:hint="eastAsia" w:ascii="仿宋_GB2312" w:hAnsi="仿宋_GB2312" w:eastAsia="仿宋_GB2312"/>
          <w:b/>
          <w:bCs/>
          <w:i/>
          <w:iCs/>
          <w:sz w:val="32"/>
          <w:u w:val="single"/>
        </w:rPr>
        <w:t>之日</w:t>
      </w:r>
      <w:r>
        <w:rPr>
          <w:rFonts w:hint="eastAsia" w:ascii="仿宋_GB2312" w:hAnsi="仿宋_GB2312" w:eastAsia="仿宋_GB2312"/>
          <w:b/>
          <w:bCs/>
          <w:i/>
          <w:iCs/>
          <w:sz w:val="32"/>
          <w:szCs w:val="24"/>
          <w:u w:val="single"/>
        </w:rPr>
        <w:t>期间，项目投资额的百分之三十一次性给予最高五百万元资助。</w:t>
      </w:r>
    </w:p>
    <w:p>
      <w:pPr>
        <w:snapToGrid w:val="0"/>
        <w:spacing w:line="312" w:lineRule="auto"/>
        <w:ind w:firstLine="640" w:firstLineChars="200"/>
        <w:jc w:val="left"/>
        <w:rPr>
          <w:rFonts w:ascii="仿宋_GB2312" w:hAnsi="仿宋_GB2312" w:eastAsia="仿宋_GB2312"/>
          <w:sz w:val="32"/>
          <w:szCs w:val="24"/>
        </w:rPr>
      </w:pPr>
      <w:r>
        <w:rPr>
          <w:rFonts w:hint="eastAsia" w:ascii="仿宋_GB2312" w:hAnsi="仿宋_GB2312" w:eastAsia="仿宋_GB2312"/>
          <w:sz w:val="32"/>
          <w:szCs w:val="24"/>
        </w:rPr>
        <w:t>项目总投资额（含场景共建投资额）包括场地租赁费、改造装修费、仪器设备（含软件）购置费等，</w:t>
      </w:r>
      <w:r>
        <w:rPr>
          <w:rFonts w:hint="eastAsia" w:ascii="仿宋_GB2312" w:hAnsi="仿宋_GB2312" w:eastAsia="仿宋_GB2312"/>
          <w:sz w:val="32"/>
        </w:rPr>
        <w:t>以第三方审计机构出具的专项审计报告数据为准</w:t>
      </w:r>
      <w:r>
        <w:rPr>
          <w:rFonts w:hint="eastAsia" w:ascii="仿宋_GB2312" w:hAnsi="仿宋_GB2312" w:eastAsia="仿宋_GB2312"/>
          <w:sz w:val="32"/>
          <w:szCs w:val="24"/>
        </w:rPr>
        <w:t>；</w:t>
      </w:r>
      <w:r>
        <w:rPr>
          <w:rFonts w:hint="eastAsia" w:ascii="仿宋_GB2312" w:hAnsi="仿宋_GB2312" w:eastAsia="仿宋_GB2312"/>
          <w:sz w:val="32"/>
        </w:rPr>
        <w:t>企业或机构的外委、采购、投资金额以合同及银行入账凭证为准。</w:t>
      </w:r>
    </w:p>
    <w:p>
      <w:pPr>
        <w:snapToGrid w:val="0"/>
        <w:spacing w:line="312" w:lineRule="auto"/>
        <w:ind w:firstLine="640" w:firstLineChars="200"/>
        <w:jc w:val="left"/>
        <w:rPr>
          <w:rFonts w:ascii="仿宋_GB2312" w:hAnsi="仿宋_GB2312" w:eastAsia="仿宋_GB2312"/>
          <w:sz w:val="32"/>
          <w:szCs w:val="24"/>
        </w:rPr>
      </w:pPr>
      <w:r>
        <w:rPr>
          <w:rFonts w:ascii="仿宋_GB2312" w:hAnsi="仿宋_GB2312" w:eastAsia="仿宋_GB2312"/>
          <w:sz w:val="32"/>
          <w:szCs w:val="24"/>
        </w:rPr>
        <w:t>（</w:t>
      </w:r>
      <w:r>
        <w:rPr>
          <w:rFonts w:hint="eastAsia" w:ascii="仿宋_GB2312" w:hAnsi="仿宋_GB2312" w:eastAsia="仿宋_GB2312"/>
          <w:sz w:val="32"/>
          <w:szCs w:val="24"/>
        </w:rPr>
        <w:t>二</w:t>
      </w:r>
      <w:r>
        <w:rPr>
          <w:rFonts w:ascii="仿宋_GB2312" w:hAnsi="仿宋_GB2312" w:eastAsia="仿宋_GB2312"/>
          <w:sz w:val="32"/>
          <w:szCs w:val="24"/>
        </w:rPr>
        <w:t>）</w:t>
      </w:r>
      <w:bookmarkStart w:id="6" w:name="OLE_LINK7"/>
      <w:bookmarkStart w:id="7" w:name="OLE_LINK8"/>
      <w:r>
        <w:rPr>
          <w:rFonts w:hint="eastAsia" w:ascii="仿宋_GB2312" w:hAnsi="仿宋_GB2312" w:eastAsia="仿宋_GB2312"/>
          <w:sz w:val="32"/>
        </w:rPr>
        <w:t>经评审，对于符合方向二要求且具有先进性示范性的应用场景，</w:t>
      </w:r>
      <w:r>
        <w:rPr>
          <w:rFonts w:hint="eastAsia" w:ascii="仿宋_GB2312" w:hAnsi="仿宋_GB2312" w:eastAsia="仿宋_GB2312"/>
          <w:b/>
          <w:bCs/>
          <w:i/>
          <w:iCs/>
          <w:sz w:val="32"/>
          <w:u w:val="single"/>
        </w:rPr>
        <w:t>将予以入库，并根据后续政策的相关条款，结合合作区实际情况予以资助。</w:t>
      </w:r>
      <w:bookmarkEnd w:id="6"/>
      <w:bookmarkEnd w:id="7"/>
    </w:p>
    <w:p>
      <w:pPr>
        <w:pStyle w:val="15"/>
        <w:adjustRightInd w:val="0"/>
        <w:snapToGrid w:val="0"/>
        <w:spacing w:line="312" w:lineRule="auto"/>
        <w:ind w:firstLine="64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五</w:t>
      </w:r>
      <w:r>
        <w:rPr>
          <w:rFonts w:ascii="Times New Roman" w:hAnsi="Times New Roman" w:eastAsia="黑体" w:cs="Times New Roman"/>
          <w:sz w:val="32"/>
          <w:szCs w:val="32"/>
        </w:rPr>
        <w:t>、</w:t>
      </w:r>
      <w:r>
        <w:rPr>
          <w:rFonts w:hint="eastAsia" w:ascii="Times New Roman" w:hAnsi="Times New Roman" w:eastAsia="黑体" w:cs="Times New Roman"/>
          <w:sz w:val="32"/>
          <w:szCs w:val="32"/>
        </w:rPr>
        <w:t>申</w:t>
      </w:r>
      <w:bookmarkStart w:id="8" w:name="OLE_LINK17"/>
      <w:bookmarkStart w:id="9" w:name="OLE_LINK18"/>
      <w:r>
        <w:rPr>
          <w:rFonts w:hint="eastAsia" w:ascii="Times New Roman" w:hAnsi="Times New Roman" w:eastAsia="黑体" w:cs="Times New Roman"/>
          <w:sz w:val="32"/>
          <w:szCs w:val="32"/>
        </w:rPr>
        <w:t>报</w:t>
      </w:r>
      <w:bookmarkEnd w:id="8"/>
      <w:bookmarkEnd w:id="9"/>
      <w:r>
        <w:rPr>
          <w:rFonts w:hint="eastAsia" w:ascii="Times New Roman" w:hAnsi="Times New Roman" w:eastAsia="黑体" w:cs="Times New Roman"/>
          <w:sz w:val="32"/>
          <w:szCs w:val="32"/>
        </w:rPr>
        <w:t>材料</w:t>
      </w:r>
    </w:p>
    <w:p>
      <w:pPr>
        <w:pStyle w:val="15"/>
        <w:adjustRightInd w:val="0"/>
        <w:snapToGrid w:val="0"/>
        <w:spacing w:line="312" w:lineRule="auto"/>
        <w:ind w:firstLine="640"/>
        <w:rPr>
          <w:rFonts w:ascii="仿宋_GB2312" w:hAnsi="仿宋_GB2312" w:eastAsia="仿宋_GB2312"/>
          <w:sz w:val="32"/>
          <w:szCs w:val="24"/>
        </w:rPr>
      </w:pPr>
      <w:r>
        <w:rPr>
          <w:rFonts w:ascii="仿宋_GB2312" w:hAnsi="仿宋_GB2312" w:eastAsia="仿宋_GB2312"/>
          <w:sz w:val="32"/>
          <w:szCs w:val="24"/>
        </w:rPr>
        <w:t>1.</w:t>
      </w:r>
      <w:bookmarkStart w:id="10" w:name="OLE_LINK45"/>
      <w:bookmarkStart w:id="11" w:name="OLE_LINK44"/>
      <w:r>
        <w:rPr>
          <w:rFonts w:hint="eastAsia" w:ascii="仿宋_GB2312" w:hAnsi="仿宋_GB2312" w:eastAsia="仿宋_GB2312"/>
          <w:sz w:val="32"/>
          <w:szCs w:val="24"/>
        </w:rPr>
        <w:t>《</w:t>
      </w:r>
      <w:r>
        <w:rPr>
          <w:rFonts w:ascii="仿宋_GB2312" w:hAnsi="仿宋_GB2312" w:eastAsia="仿宋_GB2312"/>
          <w:sz w:val="32"/>
          <w:szCs w:val="24"/>
        </w:rPr>
        <w:t>2024</w:t>
      </w:r>
      <w:r>
        <w:rPr>
          <w:rFonts w:hint="eastAsia" w:ascii="仿宋_GB2312" w:hAnsi="仿宋_GB2312" w:eastAsia="仿宋_GB2312"/>
          <w:sz w:val="32"/>
          <w:szCs w:val="24"/>
        </w:rPr>
        <w:t>年度横琴粤澳深度合作区前沿技术应用场景支持项目申请表》</w:t>
      </w:r>
      <w:bookmarkEnd w:id="10"/>
      <w:bookmarkEnd w:id="11"/>
      <w:r>
        <w:rPr>
          <w:rFonts w:hint="eastAsia" w:ascii="仿宋_GB2312" w:hAnsi="仿宋_GB2312" w:eastAsia="仿宋_GB2312"/>
          <w:sz w:val="32"/>
          <w:szCs w:val="24"/>
        </w:rPr>
        <w:t>；</w:t>
      </w:r>
    </w:p>
    <w:p>
      <w:pPr>
        <w:pStyle w:val="15"/>
        <w:adjustRightInd w:val="0"/>
        <w:snapToGrid w:val="0"/>
        <w:spacing w:line="312" w:lineRule="auto"/>
        <w:ind w:firstLine="640"/>
        <w:rPr>
          <w:rFonts w:ascii="仿宋_GB2312" w:hAnsi="仿宋_GB2312" w:eastAsia="仿宋_GB2312"/>
          <w:sz w:val="32"/>
          <w:szCs w:val="24"/>
        </w:rPr>
      </w:pPr>
      <w:r>
        <w:rPr>
          <w:rFonts w:ascii="仿宋_GB2312" w:hAnsi="仿宋_GB2312" w:eastAsia="仿宋_GB2312"/>
          <w:sz w:val="32"/>
          <w:szCs w:val="24"/>
        </w:rPr>
        <w:t>2.</w:t>
      </w:r>
      <w:r>
        <w:rPr>
          <w:rFonts w:hint="eastAsia" w:ascii="仿宋_GB2312" w:hAnsi="仿宋_GB2312" w:eastAsia="仿宋_GB2312"/>
          <w:sz w:val="32"/>
          <w:szCs w:val="24"/>
        </w:rPr>
        <w:t>营业执照复印件（加盖公章）；</w:t>
      </w:r>
    </w:p>
    <w:p>
      <w:pPr>
        <w:pStyle w:val="15"/>
        <w:adjustRightInd w:val="0"/>
        <w:snapToGrid w:val="0"/>
        <w:spacing w:line="312" w:lineRule="auto"/>
        <w:ind w:firstLine="640"/>
        <w:rPr>
          <w:rFonts w:ascii="仿宋_GB2312" w:hAnsi="仿宋_GB2312" w:eastAsia="仿宋_GB2312"/>
          <w:sz w:val="32"/>
          <w:szCs w:val="24"/>
        </w:rPr>
      </w:pPr>
      <w:r>
        <w:rPr>
          <w:rFonts w:ascii="仿宋_GB2312" w:hAnsi="仿宋_GB2312" w:eastAsia="仿宋_GB2312"/>
          <w:sz w:val="32"/>
          <w:szCs w:val="24"/>
        </w:rPr>
        <w:t>3.</w:t>
      </w:r>
      <w:r>
        <w:rPr>
          <w:rFonts w:hint="eastAsia" w:ascii="仿宋_GB2312" w:hAnsi="仿宋_GB2312" w:eastAsia="仿宋_GB2312"/>
          <w:sz w:val="32"/>
          <w:szCs w:val="24"/>
        </w:rPr>
        <w:t>法定代表人</w:t>
      </w:r>
      <w:r>
        <w:rPr>
          <w:rFonts w:ascii="仿宋_GB2312" w:hAnsi="仿宋_GB2312" w:eastAsia="仿宋_GB2312"/>
          <w:sz w:val="32"/>
          <w:szCs w:val="24"/>
        </w:rPr>
        <w:t>/负责人身份证（加盖公章）</w:t>
      </w:r>
      <w:r>
        <w:rPr>
          <w:rFonts w:hint="eastAsia" w:ascii="仿宋_GB2312" w:hAnsi="仿宋_GB2312" w:eastAsia="仿宋_GB2312"/>
          <w:sz w:val="32"/>
          <w:szCs w:val="24"/>
        </w:rPr>
        <w:t>；</w:t>
      </w:r>
    </w:p>
    <w:p>
      <w:pPr>
        <w:pStyle w:val="15"/>
        <w:adjustRightInd w:val="0"/>
        <w:snapToGrid w:val="0"/>
        <w:spacing w:line="312" w:lineRule="auto"/>
        <w:ind w:firstLine="640"/>
        <w:rPr>
          <w:rFonts w:ascii="仿宋_GB2312" w:hAnsi="仿宋_GB2312" w:eastAsia="仿宋_GB2312"/>
          <w:sz w:val="32"/>
          <w:szCs w:val="24"/>
        </w:rPr>
      </w:pPr>
      <w:r>
        <w:rPr>
          <w:rFonts w:hint="eastAsia" w:ascii="仿宋_GB2312" w:hAnsi="仿宋_GB2312" w:eastAsia="仿宋_GB2312"/>
          <w:sz w:val="32"/>
          <w:szCs w:val="24"/>
        </w:rPr>
        <w:t>4</w:t>
      </w:r>
      <w:r>
        <w:rPr>
          <w:rFonts w:ascii="仿宋_GB2312" w:hAnsi="仿宋_GB2312" w:eastAsia="仿宋_GB2312"/>
          <w:sz w:val="32"/>
          <w:szCs w:val="24"/>
        </w:rPr>
        <w:t>.</w:t>
      </w:r>
      <w:r>
        <w:rPr>
          <w:rFonts w:hint="eastAsia" w:ascii="仿宋_GB2312" w:hAnsi="仿宋_GB2312" w:eastAsia="仿宋_GB2312"/>
          <w:sz w:val="32"/>
          <w:szCs w:val="24"/>
        </w:rPr>
        <w:t>联合建设单位营业执照复印件（加盖公章），方向二项目提交；</w:t>
      </w:r>
    </w:p>
    <w:p>
      <w:pPr>
        <w:pStyle w:val="15"/>
        <w:adjustRightInd w:val="0"/>
        <w:snapToGrid w:val="0"/>
        <w:spacing w:line="312" w:lineRule="auto"/>
        <w:ind w:firstLine="640"/>
        <w:rPr>
          <w:rFonts w:ascii="仿宋_GB2312" w:hAnsi="仿宋_GB2312" w:eastAsia="仿宋_GB2312"/>
          <w:sz w:val="32"/>
          <w:szCs w:val="24"/>
        </w:rPr>
      </w:pPr>
      <w:r>
        <w:rPr>
          <w:rFonts w:ascii="仿宋_GB2312" w:hAnsi="仿宋_GB2312" w:eastAsia="仿宋_GB2312"/>
          <w:sz w:val="32"/>
          <w:szCs w:val="24"/>
        </w:rPr>
        <w:t>5.</w:t>
      </w:r>
      <w:r>
        <w:rPr>
          <w:rFonts w:hint="eastAsia" w:ascii="仿宋_GB2312" w:hAnsi="仿宋_GB2312" w:eastAsia="仿宋_GB2312"/>
          <w:sz w:val="32"/>
          <w:szCs w:val="24"/>
        </w:rPr>
        <w:t>联合建设单位法定代表人</w:t>
      </w:r>
      <w:r>
        <w:rPr>
          <w:rFonts w:ascii="仿宋_GB2312" w:hAnsi="仿宋_GB2312" w:eastAsia="仿宋_GB2312"/>
          <w:sz w:val="32"/>
          <w:szCs w:val="24"/>
        </w:rPr>
        <w:t>/负责人身份证（加盖公章）</w:t>
      </w:r>
      <w:bookmarkStart w:id="12" w:name="OLE_LINK43"/>
      <w:r>
        <w:rPr>
          <w:rFonts w:hint="eastAsia" w:ascii="仿宋_GB2312" w:hAnsi="仿宋_GB2312" w:eastAsia="仿宋_GB2312"/>
          <w:sz w:val="32"/>
          <w:szCs w:val="24"/>
        </w:rPr>
        <w:t>，方向二项目提交</w:t>
      </w:r>
      <w:bookmarkEnd w:id="12"/>
      <w:r>
        <w:rPr>
          <w:rFonts w:hint="eastAsia" w:ascii="仿宋_GB2312" w:hAnsi="仿宋_GB2312" w:eastAsia="仿宋_GB2312"/>
          <w:sz w:val="32"/>
          <w:szCs w:val="24"/>
        </w:rPr>
        <w:t>；</w:t>
      </w:r>
    </w:p>
    <w:p>
      <w:pPr>
        <w:pStyle w:val="15"/>
        <w:adjustRightInd w:val="0"/>
        <w:snapToGrid w:val="0"/>
        <w:spacing w:line="312" w:lineRule="auto"/>
        <w:ind w:firstLine="640"/>
        <w:rPr>
          <w:rFonts w:ascii="仿宋_GB2312" w:hAnsi="仿宋_GB2312" w:eastAsia="仿宋_GB2312"/>
          <w:sz w:val="32"/>
          <w:szCs w:val="24"/>
        </w:rPr>
      </w:pPr>
      <w:r>
        <w:rPr>
          <w:rFonts w:ascii="仿宋_GB2312" w:hAnsi="仿宋_GB2312" w:eastAsia="仿宋_GB2312"/>
          <w:sz w:val="32"/>
          <w:szCs w:val="24"/>
        </w:rPr>
        <w:t>6.</w:t>
      </w:r>
      <w:r>
        <w:rPr>
          <w:rFonts w:hint="eastAsia" w:ascii="仿宋_GB2312" w:hAnsi="仿宋_GB2312" w:eastAsia="仿宋_GB2312"/>
          <w:sz w:val="32"/>
          <w:szCs w:val="24"/>
        </w:rPr>
        <w:t>前沿技术应用场景项目联合建设协议（双方加盖公章），方向二项目提交；</w:t>
      </w:r>
    </w:p>
    <w:p>
      <w:pPr>
        <w:pStyle w:val="15"/>
        <w:adjustRightInd w:val="0"/>
        <w:snapToGrid w:val="0"/>
        <w:spacing w:line="312" w:lineRule="auto"/>
        <w:ind w:firstLine="640"/>
        <w:rPr>
          <w:rFonts w:ascii="仿宋_GB2312" w:hAnsi="仿宋_GB2312" w:eastAsia="仿宋_GB2312"/>
          <w:sz w:val="32"/>
          <w:szCs w:val="24"/>
        </w:rPr>
      </w:pPr>
      <w:r>
        <w:rPr>
          <w:rFonts w:ascii="仿宋_GB2312" w:hAnsi="仿宋_GB2312" w:eastAsia="仿宋_GB2312"/>
          <w:sz w:val="32"/>
          <w:szCs w:val="24"/>
        </w:rPr>
        <w:t>7.</w:t>
      </w:r>
      <w:r>
        <w:rPr>
          <w:rFonts w:hint="eastAsia" w:ascii="仿宋_GB2312" w:hAnsi="仿宋_GB2312" w:eastAsia="仿宋_GB2312"/>
          <w:sz w:val="32"/>
          <w:szCs w:val="24"/>
        </w:rPr>
        <w:t>企业或机构获得的技术外委、采购订单、产业投资的金额或</w:t>
      </w:r>
      <w:r>
        <w:rPr>
          <w:rFonts w:ascii="仿宋_GB2312" w:hAnsi="仿宋_GB2312" w:eastAsia="仿宋_GB2312"/>
          <w:sz w:val="32"/>
          <w:szCs w:val="24"/>
        </w:rPr>
        <w:t>应用</w:t>
      </w:r>
      <w:r>
        <w:rPr>
          <w:rFonts w:hint="eastAsia" w:ascii="仿宋_GB2312" w:hAnsi="仿宋_GB2312" w:eastAsia="仿宋_GB2312"/>
          <w:sz w:val="32"/>
          <w:szCs w:val="24"/>
        </w:rPr>
        <w:t>场景共建的投资额证明材料（</w:t>
      </w:r>
      <w:r>
        <w:rPr>
          <w:rFonts w:hint="eastAsia" w:ascii="仿宋_GB2312" w:hAnsi="仿宋_GB2312" w:eastAsia="仿宋_GB2312"/>
          <w:i/>
          <w:sz w:val="32"/>
          <w:szCs w:val="24"/>
        </w:rPr>
        <w:t>技术外委合同、到账凭证（采购订单或合同或产业</w:t>
      </w:r>
      <w:bookmarkStart w:id="13" w:name="OLE_LINK37"/>
      <w:bookmarkStart w:id="14" w:name="OLE_LINK38"/>
      <w:r>
        <w:rPr>
          <w:rFonts w:hint="eastAsia" w:ascii="仿宋_GB2312" w:hAnsi="仿宋_GB2312" w:eastAsia="仿宋_GB2312"/>
          <w:i/>
          <w:sz w:val="32"/>
          <w:szCs w:val="24"/>
        </w:rPr>
        <w:t>投资</w:t>
      </w:r>
      <w:bookmarkEnd w:id="13"/>
      <w:bookmarkEnd w:id="14"/>
      <w:r>
        <w:rPr>
          <w:rFonts w:hint="eastAsia" w:ascii="仿宋_GB2312" w:hAnsi="仿宋_GB2312" w:eastAsia="仿宋_GB2312"/>
          <w:i/>
          <w:sz w:val="32"/>
          <w:szCs w:val="24"/>
        </w:rPr>
        <w:t>协议）、投资资金到账凭证等</w:t>
      </w:r>
      <w:r>
        <w:rPr>
          <w:rFonts w:ascii="仿宋_GB2312" w:hAnsi="仿宋_GB2312" w:eastAsia="仿宋_GB2312"/>
          <w:sz w:val="32"/>
          <w:szCs w:val="24"/>
        </w:rPr>
        <w:t>）</w:t>
      </w:r>
      <w:r>
        <w:rPr>
          <w:rFonts w:hint="eastAsia" w:ascii="仿宋_GB2312" w:hAnsi="仿宋_GB2312" w:eastAsia="仿宋_GB2312"/>
          <w:sz w:val="32"/>
          <w:szCs w:val="24"/>
        </w:rPr>
        <w:t>，方向二项目提交；</w:t>
      </w:r>
    </w:p>
    <w:p>
      <w:pPr>
        <w:pStyle w:val="15"/>
        <w:adjustRightInd w:val="0"/>
        <w:snapToGrid w:val="0"/>
        <w:spacing w:line="312" w:lineRule="auto"/>
        <w:ind w:firstLine="640"/>
        <w:rPr>
          <w:rFonts w:ascii="仿宋_GB2312" w:hAnsi="仿宋_GB2312" w:eastAsia="仿宋_GB2312"/>
          <w:sz w:val="32"/>
          <w:szCs w:val="24"/>
        </w:rPr>
      </w:pPr>
      <w:r>
        <w:rPr>
          <w:rFonts w:ascii="仿宋_GB2312" w:hAnsi="仿宋_GB2312" w:eastAsia="仿宋_GB2312"/>
          <w:sz w:val="32"/>
          <w:szCs w:val="24"/>
        </w:rPr>
        <w:t>8.</w:t>
      </w:r>
      <w:r>
        <w:rPr>
          <w:rFonts w:hint="eastAsia" w:ascii="仿宋_GB2312" w:hAnsi="仿宋_GB2312" w:eastAsia="仿宋_GB2312"/>
          <w:sz w:val="32"/>
          <w:szCs w:val="24"/>
        </w:rPr>
        <w:t>第三方审计机构出具</w:t>
      </w:r>
      <w:bookmarkStart w:id="15" w:name="OLE_LINK40"/>
      <w:bookmarkStart w:id="16" w:name="OLE_LINK41"/>
      <w:r>
        <w:rPr>
          <w:rFonts w:hint="eastAsia" w:ascii="仿宋_GB2312" w:hAnsi="仿宋_GB2312" w:eastAsia="仿宋_GB2312"/>
          <w:sz w:val="32"/>
          <w:szCs w:val="24"/>
        </w:rPr>
        <w:t>针对</w:t>
      </w:r>
      <w:bookmarkStart w:id="17" w:name="OLE_LINK42"/>
      <w:r>
        <w:rPr>
          <w:rFonts w:hint="eastAsia" w:ascii="仿宋_GB2312" w:hAnsi="仿宋_GB2312" w:eastAsia="仿宋_GB2312"/>
          <w:sz w:val="32"/>
          <w:szCs w:val="24"/>
        </w:rPr>
        <w:t>该</w:t>
      </w:r>
      <w:bookmarkEnd w:id="17"/>
      <w:r>
        <w:rPr>
          <w:rFonts w:hint="eastAsia" w:ascii="仿宋_GB2312" w:hAnsi="仿宋_GB2312" w:eastAsia="仿宋_GB2312"/>
          <w:sz w:val="32"/>
          <w:szCs w:val="24"/>
        </w:rPr>
        <w:t>项目</w:t>
      </w:r>
      <w:bookmarkEnd w:id="15"/>
      <w:bookmarkEnd w:id="16"/>
      <w:r>
        <w:rPr>
          <w:rFonts w:hint="eastAsia" w:ascii="仿宋_GB2312" w:hAnsi="仿宋_GB2312" w:eastAsia="仿宋_GB2312"/>
          <w:sz w:val="32"/>
          <w:szCs w:val="24"/>
        </w:rPr>
        <w:t>的专项审计报告；</w:t>
      </w:r>
    </w:p>
    <w:p>
      <w:pPr>
        <w:pStyle w:val="15"/>
        <w:adjustRightInd w:val="0"/>
        <w:snapToGrid w:val="0"/>
        <w:spacing w:line="312" w:lineRule="auto"/>
        <w:ind w:firstLine="640"/>
        <w:rPr>
          <w:rFonts w:ascii="仿宋_GB2312" w:hAnsi="仿宋_GB2312" w:eastAsia="仿宋_GB2312"/>
          <w:sz w:val="32"/>
          <w:szCs w:val="24"/>
        </w:rPr>
      </w:pPr>
      <w:r>
        <w:rPr>
          <w:rFonts w:ascii="仿宋_GB2312" w:hAnsi="仿宋_GB2312" w:eastAsia="仿宋_GB2312"/>
          <w:sz w:val="32"/>
          <w:szCs w:val="24"/>
        </w:rPr>
        <w:t>9.</w:t>
      </w:r>
      <w:r>
        <w:rPr>
          <w:rFonts w:hint="eastAsia" w:ascii="仿宋_GB2312" w:hAnsi="仿宋_GB2312" w:eastAsia="仿宋_GB2312"/>
          <w:sz w:val="32"/>
          <w:szCs w:val="24"/>
        </w:rPr>
        <w:t>实质性运营自评承诺表及实质性运营有关的留存备查资料；</w:t>
      </w:r>
    </w:p>
    <w:p>
      <w:pPr>
        <w:pStyle w:val="15"/>
        <w:adjustRightInd w:val="0"/>
        <w:snapToGrid w:val="0"/>
        <w:spacing w:line="312" w:lineRule="auto"/>
        <w:ind w:firstLine="640"/>
        <w:rPr>
          <w:rFonts w:ascii="仿宋_GB2312" w:hAnsi="仿宋_GB2312" w:eastAsia="仿宋_GB2312"/>
          <w:sz w:val="32"/>
          <w:szCs w:val="24"/>
        </w:rPr>
      </w:pPr>
      <w:r>
        <w:rPr>
          <w:rFonts w:ascii="仿宋_GB2312" w:hAnsi="仿宋_GB2312" w:eastAsia="仿宋_GB2312"/>
          <w:sz w:val="32"/>
          <w:szCs w:val="24"/>
        </w:rPr>
        <w:t>1</w:t>
      </w:r>
      <w:bookmarkStart w:id="18" w:name="OLE_LINK39"/>
      <w:r>
        <w:rPr>
          <w:rFonts w:ascii="仿宋_GB2312" w:hAnsi="仿宋_GB2312" w:eastAsia="仿宋_GB2312"/>
          <w:sz w:val="32"/>
          <w:szCs w:val="24"/>
        </w:rPr>
        <w:t>0.</w:t>
      </w:r>
      <w:bookmarkEnd w:id="18"/>
      <w:r>
        <w:rPr>
          <w:rFonts w:hint="eastAsia" w:ascii="仿宋_GB2312" w:hAnsi="仿宋_GB2312" w:eastAsia="仿宋_GB2312"/>
          <w:sz w:val="32"/>
          <w:szCs w:val="24"/>
        </w:rPr>
        <w:t>财务管理制度、财务管理能力、实施项目资金实力保障条件、项目经费投入、项目投资落实等证明材料</w:t>
      </w:r>
      <w:bookmarkStart w:id="19" w:name="OLE_LINK12"/>
      <w:bookmarkStart w:id="20" w:name="OLE_LINK11"/>
      <w:r>
        <w:rPr>
          <w:rFonts w:hint="eastAsia" w:ascii="仿宋_GB2312" w:hAnsi="仿宋_GB2312" w:eastAsia="仿宋_GB2312"/>
          <w:sz w:val="32"/>
          <w:szCs w:val="24"/>
        </w:rPr>
        <w:t>（非必备材料）</w:t>
      </w:r>
      <w:bookmarkEnd w:id="19"/>
      <w:bookmarkEnd w:id="20"/>
      <w:r>
        <w:rPr>
          <w:rFonts w:hint="eastAsia" w:ascii="仿宋_GB2312" w:hAnsi="仿宋_GB2312" w:eastAsia="仿宋_GB2312"/>
          <w:sz w:val="32"/>
          <w:szCs w:val="24"/>
        </w:rPr>
        <w:t>；</w:t>
      </w:r>
    </w:p>
    <w:p>
      <w:pPr>
        <w:pStyle w:val="15"/>
        <w:adjustRightInd w:val="0"/>
        <w:snapToGrid w:val="0"/>
        <w:spacing w:line="312" w:lineRule="auto"/>
        <w:ind w:firstLine="640"/>
        <w:rPr>
          <w:rFonts w:ascii="仿宋_GB2312" w:hAnsi="仿宋_GB2312" w:eastAsia="仿宋_GB2312"/>
          <w:sz w:val="32"/>
          <w:szCs w:val="24"/>
        </w:rPr>
      </w:pPr>
      <w:r>
        <w:rPr>
          <w:rFonts w:ascii="仿宋_GB2312" w:hAnsi="仿宋_GB2312" w:eastAsia="仿宋_GB2312"/>
          <w:sz w:val="32"/>
          <w:szCs w:val="24"/>
        </w:rPr>
        <w:t>11.</w:t>
      </w:r>
      <w:r>
        <w:rPr>
          <w:rFonts w:hint="eastAsia" w:ascii="仿宋_GB2312" w:hAnsi="仿宋_GB2312" w:eastAsia="仿宋_GB2312"/>
          <w:sz w:val="32"/>
          <w:szCs w:val="24"/>
        </w:rPr>
        <w:t>项目建设依据、项目建设内容及先进性与创新性、项目建设基础条件及运行管理等相关材料（非必备材料）；</w:t>
      </w:r>
    </w:p>
    <w:p>
      <w:pPr>
        <w:pStyle w:val="15"/>
        <w:adjustRightInd w:val="0"/>
        <w:snapToGrid w:val="0"/>
        <w:spacing w:line="312" w:lineRule="auto"/>
        <w:ind w:firstLine="640"/>
        <w:rPr>
          <w:rFonts w:ascii="仿宋_GB2312" w:hAnsi="仿宋_GB2312" w:eastAsia="仿宋_GB2312"/>
          <w:sz w:val="32"/>
          <w:szCs w:val="24"/>
        </w:rPr>
      </w:pPr>
      <w:r>
        <w:rPr>
          <w:rFonts w:ascii="仿宋_GB2312" w:hAnsi="仿宋_GB2312" w:eastAsia="仿宋_GB2312"/>
          <w:sz w:val="32"/>
          <w:szCs w:val="24"/>
        </w:rPr>
        <w:t>12.</w:t>
      </w:r>
      <w:r>
        <w:rPr>
          <w:rFonts w:hint="eastAsia" w:ascii="仿宋_GB2312" w:hAnsi="仿宋_GB2312" w:eastAsia="仿宋_GB2312"/>
          <w:sz w:val="32"/>
          <w:szCs w:val="24"/>
        </w:rPr>
        <w:t>其它有助于审核项目的相关材料（非必备材料）。</w:t>
      </w:r>
    </w:p>
    <w:p>
      <w:pPr>
        <w:pStyle w:val="15"/>
        <w:adjustRightInd w:val="0"/>
        <w:snapToGrid w:val="0"/>
        <w:spacing w:line="312" w:lineRule="auto"/>
        <w:ind w:firstLine="64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六、申报时间及申报网址</w:t>
      </w:r>
    </w:p>
    <w:p>
      <w:pPr>
        <w:spacing w:line="579" w:lineRule="exact"/>
        <w:ind w:firstLine="616" w:firstLineChars="200"/>
        <w:rPr>
          <w:rFonts w:ascii="仿宋_GB2312" w:hAnsi="仿宋_GB2312" w:eastAsia="仿宋_GB2312" w:cs="仿宋_GB2312"/>
          <w:bCs/>
          <w:spacing w:val="-6"/>
          <w:sz w:val="32"/>
          <w:szCs w:val="32"/>
        </w:rPr>
      </w:pPr>
      <w:r>
        <w:rPr>
          <w:rFonts w:hint="eastAsia" w:ascii="仿宋_GB2312" w:hAnsi="仿宋_GB2312" w:eastAsia="仿宋_GB2312" w:cs="仿宋_GB2312"/>
          <w:bCs/>
          <w:spacing w:val="-6"/>
          <w:sz w:val="32"/>
          <w:szCs w:val="32"/>
          <w:lang w:val="en"/>
        </w:rPr>
        <w:t>（一）</w:t>
      </w:r>
      <w:r>
        <w:rPr>
          <w:rFonts w:hint="eastAsia" w:ascii="仿宋_GB2312" w:hAnsi="仿宋_GB2312" w:eastAsia="仿宋_GB2312" w:cs="仿宋_GB2312"/>
          <w:bCs/>
          <w:spacing w:val="-6"/>
          <w:sz w:val="32"/>
          <w:szCs w:val="32"/>
        </w:rPr>
        <w:t>申报时间</w:t>
      </w:r>
    </w:p>
    <w:p>
      <w:pPr>
        <w:pStyle w:val="6"/>
        <w:shd w:val="clear" w:color="auto" w:fill="FFFFFF"/>
        <w:spacing w:line="579" w:lineRule="exact"/>
        <w:ind w:firstLine="640" w:firstLineChars="200"/>
        <w:jc w:val="both"/>
        <w:rPr>
          <w:rFonts w:ascii="仿宋_GB2312" w:hAnsi="仿宋_GB2312" w:eastAsia="仿宋_GB2312" w:cs="Calibri"/>
          <w:kern w:val="2"/>
          <w:sz w:val="32"/>
        </w:rPr>
      </w:pPr>
      <w:r>
        <w:rPr>
          <w:rFonts w:ascii="仿宋_GB2312" w:hAnsi="仿宋_GB2312" w:eastAsia="仿宋_GB2312" w:cs="Calibri"/>
          <w:kern w:val="2"/>
          <w:sz w:val="32"/>
        </w:rPr>
        <w:t>1.</w:t>
      </w:r>
      <w:bookmarkStart w:id="40" w:name="_GoBack"/>
      <w:r>
        <w:rPr>
          <w:rFonts w:hint="eastAsia" w:ascii="仿宋_GB2312" w:hAnsi="仿宋_GB2312" w:eastAsia="仿宋_GB2312" w:cs="Calibri"/>
          <w:kern w:val="2"/>
          <w:sz w:val="32"/>
        </w:rPr>
        <w:t>方向一项目申报时间：</w:t>
      </w:r>
      <w:bookmarkStart w:id="21" w:name="_Hlk206594310"/>
      <w:r>
        <w:rPr>
          <w:rFonts w:hint="eastAsia" w:ascii="仿宋_GB2312" w:hAnsi="仿宋_GB2312" w:eastAsia="仿宋_GB2312" w:cs="Calibri"/>
          <w:kern w:val="2"/>
          <w:sz w:val="32"/>
        </w:rPr>
        <w:t>申报指南</w:t>
      </w:r>
      <w:r>
        <w:rPr>
          <w:rFonts w:ascii="仿宋_GB2312" w:hAnsi="仿宋_GB2312" w:eastAsia="仿宋_GB2312" w:cs="Calibri"/>
          <w:kern w:val="2"/>
          <w:sz w:val="32"/>
        </w:rPr>
        <w:t>发布</w:t>
      </w:r>
      <w:r>
        <w:rPr>
          <w:rFonts w:hint="eastAsia" w:ascii="仿宋_GB2312" w:hAnsi="仿宋_GB2312" w:eastAsia="仿宋_GB2312" w:cs="Calibri"/>
          <w:kern w:val="2"/>
          <w:sz w:val="32"/>
        </w:rPr>
        <w:t>之日起</w:t>
      </w:r>
      <w:bookmarkEnd w:id="21"/>
      <w:r>
        <w:rPr>
          <w:rFonts w:ascii="仿宋_GB2312" w:hAnsi="仿宋_GB2312" w:eastAsia="仿宋_GB2312" w:cs="Calibri"/>
          <w:kern w:val="2"/>
          <w:sz w:val="32"/>
        </w:rPr>
        <w:t>至</w:t>
      </w:r>
      <w:bookmarkStart w:id="22" w:name="OLE_LINK20"/>
      <w:bookmarkStart w:id="23" w:name="OLE_LINK32"/>
      <w:r>
        <w:rPr>
          <w:rFonts w:ascii="仿宋_GB2312" w:hAnsi="仿宋_GB2312" w:eastAsia="仿宋_GB2312" w:cs="Calibri"/>
          <w:kern w:val="2"/>
          <w:sz w:val="32"/>
        </w:rPr>
        <w:t>2025年9月30日</w:t>
      </w:r>
      <w:bookmarkEnd w:id="22"/>
      <w:bookmarkEnd w:id="23"/>
      <w:r>
        <w:rPr>
          <w:rFonts w:ascii="仿宋_GB2312" w:hAnsi="仿宋_GB2312" w:eastAsia="仿宋_GB2312" w:cs="Calibri"/>
          <w:kern w:val="2"/>
          <w:sz w:val="32"/>
        </w:rPr>
        <w:t>17:00</w:t>
      </w:r>
      <w:r>
        <w:rPr>
          <w:rFonts w:hint="eastAsia" w:ascii="仿宋_GB2312" w:hAnsi="仿宋_GB2312" w:eastAsia="仿宋_GB2312" w:cs="Calibri"/>
          <w:kern w:val="2"/>
          <w:sz w:val="32"/>
        </w:rPr>
        <w:t>，逾期将不予受理；</w:t>
      </w:r>
    </w:p>
    <w:p>
      <w:pPr>
        <w:pStyle w:val="6"/>
        <w:shd w:val="clear" w:color="auto" w:fill="FFFFFF"/>
        <w:spacing w:line="579" w:lineRule="exact"/>
        <w:ind w:firstLine="640" w:firstLineChars="200"/>
        <w:jc w:val="both"/>
        <w:rPr>
          <w:rFonts w:ascii="仿宋_GB2312" w:hAnsi="仿宋_GB2312" w:eastAsia="仿宋_GB2312" w:cs="Calibri"/>
          <w:kern w:val="2"/>
          <w:sz w:val="32"/>
        </w:rPr>
      </w:pPr>
      <w:r>
        <w:rPr>
          <w:rFonts w:ascii="仿宋_GB2312" w:hAnsi="仿宋_GB2312" w:eastAsia="仿宋_GB2312" w:cs="Calibri"/>
          <w:kern w:val="2"/>
          <w:sz w:val="32"/>
        </w:rPr>
        <w:t>2.</w:t>
      </w:r>
      <w:bookmarkStart w:id="24" w:name="OLE_LINK33"/>
      <w:r>
        <w:rPr>
          <w:rFonts w:hint="eastAsia" w:ascii="仿宋_GB2312" w:hAnsi="仿宋_GB2312" w:eastAsia="仿宋_GB2312" w:cs="Calibri"/>
          <w:kern w:val="2"/>
          <w:sz w:val="32"/>
        </w:rPr>
        <w:t>方向二项目</w:t>
      </w:r>
      <w:bookmarkEnd w:id="24"/>
      <w:r>
        <w:rPr>
          <w:rFonts w:hint="eastAsia" w:ascii="仿宋_GB2312" w:hAnsi="仿宋_GB2312" w:eastAsia="仿宋_GB2312" w:cs="Calibri"/>
          <w:kern w:val="2"/>
          <w:sz w:val="32"/>
        </w:rPr>
        <w:t>申报时间：</w:t>
      </w:r>
      <w:r>
        <w:rPr>
          <w:rFonts w:ascii="仿宋_GB2312" w:hAnsi="仿宋_GB2312" w:eastAsia="仿宋_GB2312" w:cs="Calibri"/>
          <w:kern w:val="2"/>
          <w:sz w:val="32"/>
        </w:rPr>
        <w:t>2025年9月30日至2025年12月31日17:00</w:t>
      </w:r>
      <w:r>
        <w:rPr>
          <w:rFonts w:hint="eastAsia" w:ascii="仿宋_GB2312" w:hAnsi="仿宋_GB2312" w:eastAsia="仿宋_GB2312" w:cs="Calibri"/>
          <w:kern w:val="2"/>
          <w:sz w:val="32"/>
        </w:rPr>
        <w:t>，逾期将不予受理。</w:t>
      </w:r>
      <w:bookmarkEnd w:id="40"/>
      <w:r>
        <w:rPr>
          <w:rFonts w:hint="eastAsia" w:ascii="仿宋_GB2312" w:hAnsi="仿宋_GB2312" w:eastAsia="仿宋_GB2312" w:cs="Calibri"/>
          <w:kern w:val="2"/>
          <w:sz w:val="32"/>
        </w:rPr>
        <w:t>（</w:t>
      </w:r>
      <w:r>
        <w:rPr>
          <w:rFonts w:hint="eastAsia" w:ascii="仿宋_GB2312" w:hAnsi="仿宋_GB2312" w:eastAsia="仿宋_GB2312" w:cs="Calibri"/>
          <w:i/>
          <w:kern w:val="2"/>
          <w:sz w:val="32"/>
        </w:rPr>
        <w:t>注：</w:t>
      </w:r>
      <w:r>
        <w:rPr>
          <w:rFonts w:ascii="仿宋_GB2312" w:hAnsi="仿宋_GB2312" w:eastAsia="仿宋_GB2312" w:cs="Calibri"/>
          <w:i/>
          <w:kern w:val="2"/>
          <w:sz w:val="32"/>
        </w:rPr>
        <w:t>12</w:t>
      </w:r>
      <w:r>
        <w:rPr>
          <w:rFonts w:hint="eastAsia" w:ascii="仿宋_GB2312" w:hAnsi="仿宋_GB2312" w:eastAsia="仿宋_GB2312" w:cs="Calibri"/>
          <w:i/>
          <w:kern w:val="2"/>
          <w:sz w:val="32"/>
        </w:rPr>
        <w:t>月</w:t>
      </w:r>
      <w:r>
        <w:rPr>
          <w:rFonts w:ascii="仿宋_GB2312" w:hAnsi="仿宋_GB2312" w:eastAsia="仿宋_GB2312" w:cs="Calibri"/>
          <w:i/>
          <w:kern w:val="2"/>
          <w:sz w:val="32"/>
        </w:rPr>
        <w:t>31</w:t>
      </w:r>
      <w:r>
        <w:rPr>
          <w:rFonts w:hint="eastAsia" w:ascii="仿宋_GB2312" w:hAnsi="仿宋_GB2312" w:eastAsia="仿宋_GB2312" w:cs="Calibri"/>
          <w:i/>
          <w:kern w:val="2"/>
          <w:sz w:val="32"/>
        </w:rPr>
        <w:t>日前，填写并提交申报表，相关附件材料，待</w:t>
      </w:r>
      <w:r>
        <w:rPr>
          <w:rFonts w:hint="eastAsia" w:ascii="仿宋_GB2312" w:hAnsi="仿宋_GB2312" w:eastAsia="仿宋_GB2312"/>
          <w:i/>
          <w:sz w:val="32"/>
        </w:rPr>
        <w:t>合作区经济发展局组织对</w:t>
      </w:r>
      <w:r>
        <w:rPr>
          <w:rFonts w:hint="eastAsia" w:ascii="仿宋_GB2312" w:hAnsi="仿宋_GB2312" w:eastAsia="仿宋_GB2312" w:cs="Calibri"/>
          <w:i/>
          <w:kern w:val="2"/>
          <w:sz w:val="32"/>
        </w:rPr>
        <w:t>申报表内容审核通过后，再通知补充。</w:t>
      </w:r>
      <w:r>
        <w:rPr>
          <w:rFonts w:hint="eastAsia" w:ascii="仿宋_GB2312" w:hAnsi="仿宋_GB2312" w:eastAsia="仿宋_GB2312" w:cs="Calibri"/>
          <w:kern w:val="2"/>
          <w:sz w:val="32"/>
        </w:rPr>
        <w:t>）</w:t>
      </w:r>
    </w:p>
    <w:p>
      <w:pPr>
        <w:pStyle w:val="6"/>
        <w:shd w:val="clear" w:color="auto" w:fill="FFFFFF"/>
        <w:spacing w:line="579" w:lineRule="exact"/>
        <w:ind w:firstLine="640" w:firstLineChars="200"/>
        <w:jc w:val="both"/>
        <w:rPr>
          <w:rFonts w:ascii="仿宋_GB2312" w:hAnsi="仿宋_GB2312" w:eastAsia="仿宋_GB2312" w:cs="Calibri"/>
          <w:color w:val="000000" w:themeColor="text1"/>
          <w:kern w:val="2"/>
          <w:sz w:val="32"/>
          <w14:textFill>
            <w14:solidFill>
              <w14:schemeClr w14:val="tx1"/>
            </w14:solidFill>
          </w14:textFill>
        </w:rPr>
      </w:pPr>
      <w:r>
        <w:rPr>
          <w:rFonts w:hint="eastAsia" w:ascii="仿宋_GB2312" w:hAnsi="仿宋_GB2312" w:eastAsia="仿宋_GB2312" w:cs="Calibri"/>
          <w:color w:val="000000" w:themeColor="text1"/>
          <w:kern w:val="2"/>
          <w:sz w:val="32"/>
          <w14:textFill>
            <w14:solidFill>
              <w14:schemeClr w14:val="tx1"/>
            </w14:solidFill>
          </w14:textFill>
        </w:rPr>
        <w:t>温馨提示：请各单位严格按照申报时间要求，抓紧填报，建议不要集中在申报截止之日（即系统关闭当天）提交申请，以免导致网络堵塞，影响申报工作。补贴分批发放，先报先审。</w:t>
      </w:r>
    </w:p>
    <w:p>
      <w:pPr>
        <w:pStyle w:val="6"/>
        <w:shd w:val="clear" w:color="auto" w:fill="FFFFFF"/>
        <w:spacing w:line="579" w:lineRule="exact"/>
        <w:ind w:firstLine="616" w:firstLineChars="200"/>
        <w:rPr>
          <w:rFonts w:ascii="仿宋_GB2312" w:hAnsi="仿宋_GB2312" w:eastAsia="仿宋_GB2312"/>
          <w:sz w:val="32"/>
        </w:rPr>
      </w:pPr>
      <w:r>
        <w:rPr>
          <w:rFonts w:hint="eastAsia" w:ascii="仿宋_GB2312" w:hAnsi="仿宋_GB2312" w:eastAsia="仿宋_GB2312" w:cs="仿宋_GB2312"/>
          <w:bCs/>
          <w:spacing w:val="-6"/>
          <w:sz w:val="32"/>
          <w:szCs w:val="32"/>
          <w:lang w:val="en"/>
        </w:rPr>
        <w:t>（二）</w:t>
      </w:r>
      <w:r>
        <w:rPr>
          <w:rFonts w:hint="eastAsia" w:ascii="仿宋_GB2312" w:hAnsi="仿宋_GB2312" w:eastAsia="仿宋_GB2312" w:cs="仿宋_GB2312"/>
          <w:bCs/>
          <w:spacing w:val="-6"/>
          <w:sz w:val="32"/>
          <w:szCs w:val="32"/>
        </w:rPr>
        <w:t>申报</w:t>
      </w:r>
      <w:r>
        <w:rPr>
          <w:rFonts w:hint="eastAsia" w:ascii="仿宋_GB2312" w:hAnsi="仿宋_GB2312" w:eastAsia="仿宋_GB2312" w:cs="仿宋_GB2312"/>
          <w:sz w:val="32"/>
          <w:szCs w:val="32"/>
          <w:shd w:val="clear" w:color="auto" w:fill="FFFFFF"/>
        </w:rPr>
        <w:t>网址</w:t>
      </w:r>
    </w:p>
    <w:p>
      <w:pPr>
        <w:pStyle w:val="6"/>
        <w:shd w:val="clear" w:color="auto" w:fill="FFFFFF"/>
        <w:spacing w:line="579" w:lineRule="exact"/>
        <w:ind w:firstLine="640" w:firstLineChars="200"/>
        <w:rPr>
          <w:rFonts w:ascii="仿宋_GB2312" w:hAnsi="仿宋_GB2312" w:eastAsia="仿宋_GB2312" w:cs="Calibri"/>
          <w:sz w:val="32"/>
        </w:rPr>
      </w:pPr>
      <w:r>
        <w:rPr>
          <w:rFonts w:hint="eastAsia" w:ascii="仿宋_GB2312" w:hAnsi="仿宋_GB2312" w:eastAsia="仿宋_GB2312" w:cs="Calibri"/>
          <w:kern w:val="2"/>
          <w:sz w:val="32"/>
        </w:rPr>
        <w:t>申报</w:t>
      </w:r>
      <w:bookmarkStart w:id="25" w:name="OLE_LINK31"/>
      <w:bookmarkStart w:id="26" w:name="OLE_LINK30"/>
      <w:r>
        <w:rPr>
          <w:rFonts w:hint="eastAsia" w:ascii="仿宋_GB2312" w:hAnsi="仿宋_GB2312" w:eastAsia="仿宋_GB2312" w:cs="Calibri"/>
          <w:kern w:val="2"/>
          <w:sz w:val="32"/>
        </w:rPr>
        <w:t>网址</w:t>
      </w:r>
      <w:bookmarkEnd w:id="25"/>
      <w:bookmarkEnd w:id="26"/>
      <w:r>
        <w:rPr>
          <w:rFonts w:hint="eastAsia" w:ascii="仿宋_GB2312" w:hAnsi="仿宋_GB2312" w:eastAsia="仿宋_GB2312" w:cs="Calibri"/>
          <w:kern w:val="2"/>
          <w:sz w:val="32"/>
        </w:rPr>
        <w:t>：横琴粤澳深度合作区惠企利民服务平台</w:t>
      </w:r>
      <w:r>
        <w:rPr>
          <w:rFonts w:ascii="仿宋_GB2312" w:hAnsi="仿宋_GB2312" w:eastAsia="仿宋_GB2312" w:cs="Calibri"/>
          <w:kern w:val="2"/>
          <w:sz w:val="32"/>
        </w:rPr>
        <w:t>:</w:t>
      </w:r>
    </w:p>
    <w:p>
      <w:pPr>
        <w:pStyle w:val="6"/>
        <w:shd w:val="clear" w:color="auto" w:fill="FFFFFF"/>
        <w:spacing w:line="579" w:lineRule="exact"/>
        <w:ind w:firstLine="480" w:firstLineChars="200"/>
        <w:rPr>
          <w:rFonts w:ascii="仿宋_GB2312" w:hAnsi="仿宋_GB2312" w:eastAsia="仿宋_GB2312"/>
          <w:sz w:val="32"/>
        </w:rPr>
      </w:pPr>
      <w:r>
        <w:fldChar w:fldCharType="begin"/>
      </w:r>
      <w:r>
        <w:instrText xml:space="preserve"> HYPERLINK "https://ycfz.hengqin.gov.cn/" \l "/home" </w:instrText>
      </w:r>
      <w:r>
        <w:fldChar w:fldCharType="separate"/>
      </w:r>
      <w:r>
        <w:rPr>
          <w:rFonts w:ascii="仿宋_GB2312" w:hAnsi="仿宋_GB2312" w:eastAsia="仿宋_GB2312"/>
          <w:kern w:val="2"/>
          <w:sz w:val="32"/>
        </w:rPr>
        <w:t>https://ycfz.hengqin.gov.cn/#/home</w:t>
      </w:r>
      <w:r>
        <w:rPr>
          <w:rFonts w:ascii="仿宋_GB2312" w:hAnsi="仿宋_GB2312" w:eastAsia="仿宋_GB2312"/>
          <w:kern w:val="2"/>
          <w:sz w:val="32"/>
        </w:rPr>
        <w:fldChar w:fldCharType="end"/>
      </w:r>
    </w:p>
    <w:p>
      <w:pPr>
        <w:pStyle w:val="15"/>
        <w:adjustRightInd w:val="0"/>
        <w:snapToGrid w:val="0"/>
        <w:spacing w:line="312" w:lineRule="auto"/>
        <w:ind w:firstLine="64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七、</w:t>
      </w:r>
      <w:bookmarkStart w:id="27" w:name="OLE_LINK13"/>
      <w:bookmarkStart w:id="28" w:name="OLE_LINK14"/>
      <w:r>
        <w:rPr>
          <w:rFonts w:ascii="Times New Roman" w:hAnsi="Times New Roman" w:eastAsia="黑体" w:cs="Times New Roman"/>
          <w:sz w:val="32"/>
          <w:szCs w:val="32"/>
        </w:rPr>
        <w:t>办理程序</w:t>
      </w:r>
      <w:bookmarkEnd w:id="27"/>
      <w:bookmarkEnd w:id="28"/>
    </w:p>
    <w:p>
      <w:pPr>
        <w:snapToGrid w:val="0"/>
        <w:spacing w:line="312" w:lineRule="auto"/>
        <w:ind w:firstLine="643" w:firstLineChars="200"/>
        <w:jc w:val="left"/>
        <w:rPr>
          <w:rFonts w:ascii="Times New Roman" w:hAnsi="Times New Roman" w:eastAsia="楷体" w:cs="Times New Roman"/>
          <w:b/>
          <w:bCs/>
          <w:kern w:val="0"/>
          <w:sz w:val="32"/>
          <w:szCs w:val="32"/>
          <w:lang w:val="zh-CN"/>
        </w:rPr>
      </w:pPr>
      <w:r>
        <w:rPr>
          <w:rFonts w:ascii="Times New Roman" w:hAnsi="Times New Roman" w:eastAsia="楷体" w:cs="Times New Roman"/>
          <w:b/>
          <w:bCs/>
          <w:kern w:val="0"/>
          <w:sz w:val="32"/>
          <w:szCs w:val="32"/>
          <w:lang w:val="zh-CN"/>
        </w:rPr>
        <w:t>（一）</w:t>
      </w:r>
      <w:r>
        <w:rPr>
          <w:rFonts w:hint="eastAsia" w:eastAsia="楷体"/>
          <w:b/>
          <w:bCs/>
          <w:kern w:val="0"/>
          <w:sz w:val="32"/>
          <w:szCs w:val="32"/>
          <w:lang w:val="zh-CN"/>
        </w:rPr>
        <w:t>填写、</w:t>
      </w:r>
      <w:r>
        <w:rPr>
          <w:rFonts w:hint="eastAsia" w:eastAsia="楷体"/>
          <w:b/>
          <w:bCs/>
          <w:kern w:val="0"/>
          <w:sz w:val="32"/>
          <w:szCs w:val="32"/>
        </w:rPr>
        <w:t>提交申报材料</w:t>
      </w:r>
    </w:p>
    <w:p>
      <w:pPr>
        <w:snapToGrid w:val="0"/>
        <w:spacing w:line="312" w:lineRule="auto"/>
        <w:ind w:firstLine="640" w:firstLineChars="200"/>
        <w:jc w:val="left"/>
        <w:rPr>
          <w:rFonts w:ascii="仿宋_GB2312" w:hAnsi="仿宋_GB2312" w:eastAsia="仿宋_GB2312"/>
          <w:sz w:val="32"/>
          <w:szCs w:val="24"/>
        </w:rPr>
      </w:pPr>
      <w:bookmarkStart w:id="29" w:name="OLE_LINK15"/>
      <w:bookmarkStart w:id="30" w:name="OLE_LINK16"/>
      <w:bookmarkStart w:id="31" w:name="OLE_LINK21"/>
      <w:r>
        <w:rPr>
          <w:rFonts w:hint="eastAsia" w:ascii="仿宋_GB2312" w:hAnsi="仿宋_GB2312" w:eastAsia="仿宋_GB2312"/>
          <w:sz w:val="32"/>
          <w:szCs w:val="24"/>
        </w:rPr>
        <w:t>1.</w:t>
      </w:r>
      <w:bookmarkStart w:id="32" w:name="OLE_LINK24"/>
      <w:r>
        <w:rPr>
          <w:rFonts w:hint="eastAsia" w:ascii="仿宋_GB2312" w:hAnsi="仿宋_GB2312" w:eastAsia="仿宋_GB2312"/>
          <w:sz w:val="32"/>
          <w:szCs w:val="24"/>
        </w:rPr>
        <w:t>项目负责人</w:t>
      </w:r>
      <w:bookmarkEnd w:id="29"/>
      <w:bookmarkEnd w:id="30"/>
      <w:bookmarkEnd w:id="31"/>
      <w:bookmarkEnd w:id="32"/>
      <w:r>
        <w:rPr>
          <w:rFonts w:hint="eastAsia" w:ascii="仿宋_GB2312" w:hAnsi="仿宋_GB2312" w:eastAsia="仿宋_GB2312"/>
          <w:sz w:val="32"/>
          <w:szCs w:val="24"/>
        </w:rPr>
        <w:t>登录</w:t>
      </w:r>
      <w:r>
        <w:rPr>
          <w:rFonts w:hint="eastAsia" w:ascii="仿宋_GB2312" w:hAnsi="仿宋_GB2312" w:eastAsia="仿宋_GB2312" w:cs="仿宋_GB2312"/>
          <w:sz w:val="32"/>
          <w:szCs w:val="32"/>
        </w:rPr>
        <w:t>合作区惠企利民服务平台</w:t>
      </w:r>
      <w:r>
        <w:rPr>
          <w:rFonts w:hint="eastAsia" w:ascii="仿宋_GB2312" w:hAnsi="仿宋_GB2312" w:eastAsia="仿宋_GB2312"/>
          <w:sz w:val="32"/>
          <w:szCs w:val="24"/>
        </w:rPr>
        <w:t>，在线填报《申请表》（附件3）、上传相关附件材料，并在规定时间内提交。项目负责人在线提交申报材料之后，单位管理员须及时登录申报系统审核提交；</w:t>
      </w:r>
    </w:p>
    <w:p>
      <w:pPr>
        <w:snapToGrid w:val="0"/>
        <w:spacing w:line="312" w:lineRule="auto"/>
        <w:ind w:firstLine="640" w:firstLineChars="200"/>
        <w:jc w:val="left"/>
        <w:rPr>
          <w:rFonts w:ascii="仿宋_GB2312" w:hAnsi="仿宋_GB2312" w:eastAsia="仿宋_GB2312"/>
          <w:sz w:val="32"/>
          <w:szCs w:val="24"/>
        </w:rPr>
      </w:pPr>
      <w:r>
        <w:rPr>
          <w:rFonts w:hint="eastAsia" w:ascii="仿宋_GB2312" w:hAnsi="仿宋_GB2312" w:eastAsia="仿宋_GB2312"/>
          <w:sz w:val="32"/>
          <w:szCs w:val="24"/>
        </w:rPr>
        <w:t>2.企业及个人用户需以其统一社会信用代码或个人身份信息通过平台在省统一身份认证平台进行注册，完成注册后登录平台，完善企业及个人相关信息，申报符合条件的项目；</w:t>
      </w:r>
    </w:p>
    <w:p>
      <w:pPr>
        <w:snapToGrid w:val="0"/>
        <w:spacing w:line="312" w:lineRule="auto"/>
        <w:ind w:firstLine="640" w:firstLineChars="200"/>
        <w:jc w:val="left"/>
        <w:rPr>
          <w:rFonts w:ascii="仿宋_GB2312" w:hAnsi="仿宋_GB2312" w:eastAsia="仿宋_GB2312"/>
          <w:sz w:val="32"/>
          <w:szCs w:val="24"/>
        </w:rPr>
      </w:pPr>
      <w:r>
        <w:rPr>
          <w:rFonts w:hint="eastAsia" w:ascii="仿宋_GB2312" w:hAnsi="仿宋_GB2312" w:eastAsia="仿宋_GB2312"/>
          <w:sz w:val="32"/>
          <w:szCs w:val="24"/>
        </w:rPr>
        <w:t>3.申报单位在完成在线填报后，可通过申报系统了解申报项目所处进度和审查结果。</w:t>
      </w:r>
    </w:p>
    <w:p>
      <w:pPr>
        <w:snapToGrid w:val="0"/>
        <w:spacing w:line="312" w:lineRule="auto"/>
        <w:ind w:firstLine="640" w:firstLineChars="200"/>
        <w:jc w:val="left"/>
        <w:rPr>
          <w:rFonts w:ascii="仿宋_GB2312" w:hAnsi="仿宋_GB2312" w:eastAsia="仿宋_GB2312"/>
          <w:sz w:val="32"/>
          <w:szCs w:val="24"/>
        </w:rPr>
      </w:pPr>
      <w:r>
        <w:rPr>
          <w:rFonts w:hint="eastAsia" w:ascii="仿宋_GB2312" w:hAnsi="仿宋_GB2312" w:eastAsia="仿宋_GB2312"/>
          <w:sz w:val="32"/>
          <w:szCs w:val="24"/>
        </w:rPr>
        <w:t>▲未注册广东省统一身份认证平台账号的，则需先进行法人注册，获取法人账号后方可登录横琴惠企利民服务平台。</w:t>
      </w:r>
    </w:p>
    <w:p>
      <w:pPr>
        <w:snapToGrid w:val="0"/>
        <w:spacing w:line="312" w:lineRule="auto"/>
        <w:ind w:firstLine="640" w:firstLineChars="200"/>
        <w:jc w:val="left"/>
        <w:rPr>
          <w:rFonts w:ascii="仿宋_GB2312" w:hAnsi="仿宋_GB2312" w:eastAsia="仿宋_GB2312"/>
          <w:sz w:val="32"/>
          <w:szCs w:val="24"/>
        </w:rPr>
      </w:pPr>
      <w:r>
        <w:rPr>
          <w:rFonts w:hint="eastAsia" w:ascii="仿宋_GB2312" w:hAnsi="仿宋_GB2312" w:eastAsia="仿宋_GB2312"/>
          <w:sz w:val="32"/>
          <w:szCs w:val="24"/>
        </w:rPr>
        <w:t>▲法人账号注册时，由经办人扫码即可，无须由法人亲自扫码办理。</w:t>
      </w:r>
    </w:p>
    <w:p>
      <w:pPr>
        <w:spacing w:line="312" w:lineRule="auto"/>
        <w:ind w:firstLine="643" w:firstLineChars="200"/>
        <w:jc w:val="left"/>
        <w:rPr>
          <w:rFonts w:eastAsia="楷体"/>
          <w:b/>
          <w:bCs/>
          <w:kern w:val="0"/>
          <w:sz w:val="32"/>
          <w:szCs w:val="32"/>
        </w:rPr>
      </w:pPr>
      <w:r>
        <w:rPr>
          <w:rFonts w:eastAsia="楷体"/>
          <w:b/>
          <w:bCs/>
          <w:kern w:val="0"/>
          <w:sz w:val="32"/>
          <w:szCs w:val="32"/>
          <w:lang w:val="zh-CN"/>
        </w:rPr>
        <w:t>（</w:t>
      </w:r>
      <w:r>
        <w:rPr>
          <w:rFonts w:hint="eastAsia" w:eastAsia="楷体"/>
          <w:b/>
          <w:bCs/>
          <w:kern w:val="0"/>
          <w:sz w:val="32"/>
          <w:szCs w:val="32"/>
        </w:rPr>
        <w:t>二</w:t>
      </w:r>
      <w:r>
        <w:rPr>
          <w:rFonts w:eastAsia="楷体"/>
          <w:b/>
          <w:bCs/>
          <w:kern w:val="0"/>
          <w:sz w:val="32"/>
          <w:szCs w:val="32"/>
          <w:lang w:val="zh-CN"/>
        </w:rPr>
        <w:t>）</w:t>
      </w:r>
      <w:r>
        <w:rPr>
          <w:rFonts w:hint="eastAsia" w:eastAsia="楷体"/>
          <w:b/>
          <w:bCs/>
          <w:kern w:val="0"/>
          <w:sz w:val="32"/>
          <w:szCs w:val="32"/>
        </w:rPr>
        <w:t>审核</w:t>
      </w:r>
      <w:bookmarkStart w:id="33" w:name="OLE_LINK26"/>
      <w:bookmarkStart w:id="34" w:name="OLE_LINK27"/>
    </w:p>
    <w:p>
      <w:pPr>
        <w:snapToGrid w:val="0"/>
        <w:spacing w:line="312" w:lineRule="auto"/>
        <w:ind w:firstLine="640" w:firstLineChars="200"/>
        <w:jc w:val="left"/>
        <w:rPr>
          <w:rFonts w:ascii="仿宋_GB2312" w:hAnsi="仿宋_GB2312" w:eastAsia="仿宋_GB2312"/>
          <w:sz w:val="32"/>
          <w:szCs w:val="24"/>
        </w:rPr>
      </w:pPr>
      <w:r>
        <w:rPr>
          <w:rFonts w:hint="eastAsia" w:ascii="仿宋_GB2312" w:hAnsi="仿宋_GB2312" w:eastAsia="仿宋_GB2312"/>
          <w:sz w:val="32"/>
          <w:szCs w:val="24"/>
        </w:rPr>
        <w:t>合作区经济发展局组织对申报材料进行审核，审核通过的项目进入评审阶段。</w:t>
      </w:r>
      <w:bookmarkEnd w:id="33"/>
      <w:bookmarkEnd w:id="34"/>
    </w:p>
    <w:p>
      <w:pPr>
        <w:spacing w:line="312" w:lineRule="auto"/>
        <w:ind w:firstLine="643" w:firstLineChars="200"/>
        <w:jc w:val="left"/>
        <w:rPr>
          <w:rFonts w:eastAsia="楷体"/>
          <w:b/>
          <w:bCs/>
          <w:kern w:val="0"/>
          <w:sz w:val="32"/>
          <w:szCs w:val="32"/>
        </w:rPr>
      </w:pPr>
      <w:r>
        <w:rPr>
          <w:rFonts w:eastAsia="楷体"/>
          <w:b/>
          <w:bCs/>
          <w:kern w:val="0"/>
          <w:sz w:val="32"/>
          <w:szCs w:val="32"/>
          <w:lang w:val="zh-CN"/>
        </w:rPr>
        <w:t>（</w:t>
      </w:r>
      <w:r>
        <w:rPr>
          <w:rFonts w:hint="eastAsia" w:eastAsia="楷体"/>
          <w:b/>
          <w:bCs/>
          <w:kern w:val="0"/>
          <w:sz w:val="32"/>
          <w:szCs w:val="32"/>
          <w:lang w:val="zh-CN"/>
        </w:rPr>
        <w:t>三</w:t>
      </w:r>
      <w:r>
        <w:rPr>
          <w:rFonts w:eastAsia="楷体"/>
          <w:b/>
          <w:bCs/>
          <w:kern w:val="0"/>
          <w:sz w:val="32"/>
          <w:szCs w:val="32"/>
          <w:lang w:val="zh-CN"/>
        </w:rPr>
        <w:t>）</w:t>
      </w:r>
      <w:r>
        <w:rPr>
          <w:rFonts w:hint="eastAsia" w:eastAsia="楷体"/>
          <w:b/>
          <w:bCs/>
          <w:kern w:val="0"/>
          <w:sz w:val="32"/>
          <w:szCs w:val="32"/>
        </w:rPr>
        <w:t>评审</w:t>
      </w:r>
    </w:p>
    <w:p>
      <w:pPr>
        <w:snapToGrid w:val="0"/>
        <w:spacing w:line="312" w:lineRule="auto"/>
        <w:ind w:firstLine="640" w:firstLineChars="200"/>
        <w:jc w:val="left"/>
        <w:rPr>
          <w:rFonts w:ascii="仿宋_GB2312" w:hAnsi="仿宋_GB2312" w:eastAsia="仿宋_GB2312"/>
          <w:sz w:val="32"/>
          <w:szCs w:val="24"/>
        </w:rPr>
      </w:pPr>
      <w:r>
        <w:rPr>
          <w:rFonts w:hint="eastAsia" w:ascii="仿宋_GB2312" w:hAnsi="仿宋_GB2312" w:eastAsia="仿宋_GB2312"/>
          <w:sz w:val="32"/>
          <w:szCs w:val="24"/>
        </w:rPr>
        <w:t>进入评审阶段的项目，合作区经济发展局组织专家通过书面评审、现场答辩、实地考察等方式开展评审。</w:t>
      </w:r>
    </w:p>
    <w:p>
      <w:pPr>
        <w:snapToGrid w:val="0"/>
        <w:spacing w:line="312" w:lineRule="auto"/>
        <w:ind w:firstLine="643" w:firstLineChars="200"/>
        <w:jc w:val="left"/>
        <w:rPr>
          <w:rFonts w:ascii="Times New Roman" w:hAnsi="Times New Roman" w:eastAsia="楷体" w:cs="Times New Roman"/>
          <w:b/>
          <w:bCs/>
          <w:kern w:val="0"/>
          <w:sz w:val="32"/>
          <w:szCs w:val="32"/>
        </w:rPr>
      </w:pPr>
      <w:r>
        <w:rPr>
          <w:rFonts w:ascii="Times New Roman" w:hAnsi="Times New Roman" w:eastAsia="楷体" w:cs="Times New Roman"/>
          <w:b/>
          <w:bCs/>
          <w:kern w:val="0"/>
          <w:sz w:val="32"/>
          <w:szCs w:val="32"/>
          <w:lang w:val="zh-CN"/>
        </w:rPr>
        <w:t>（</w:t>
      </w:r>
      <w:r>
        <w:rPr>
          <w:rFonts w:hint="eastAsia" w:ascii="Times New Roman" w:hAnsi="Times New Roman" w:eastAsia="楷体" w:cs="Times New Roman"/>
          <w:b/>
          <w:bCs/>
          <w:kern w:val="0"/>
          <w:sz w:val="32"/>
          <w:szCs w:val="32"/>
        </w:rPr>
        <w:t>四</w:t>
      </w:r>
      <w:r>
        <w:rPr>
          <w:rFonts w:ascii="Times New Roman" w:hAnsi="Times New Roman" w:eastAsia="楷体" w:cs="Times New Roman"/>
          <w:b/>
          <w:bCs/>
          <w:kern w:val="0"/>
          <w:sz w:val="32"/>
          <w:szCs w:val="32"/>
          <w:lang w:val="zh-CN"/>
        </w:rPr>
        <w:t>）</w:t>
      </w:r>
      <w:r>
        <w:rPr>
          <w:rFonts w:hint="eastAsia" w:ascii="Times New Roman" w:hAnsi="Times New Roman" w:eastAsia="楷体" w:cs="Times New Roman"/>
          <w:b/>
          <w:bCs/>
          <w:kern w:val="0"/>
          <w:sz w:val="32"/>
          <w:szCs w:val="32"/>
          <w:lang w:val="zh-CN"/>
        </w:rPr>
        <w:t>结果</w:t>
      </w:r>
      <w:r>
        <w:rPr>
          <w:rFonts w:hint="eastAsia" w:ascii="Times New Roman" w:hAnsi="Times New Roman" w:eastAsia="楷体" w:cs="Times New Roman"/>
          <w:b/>
          <w:bCs/>
          <w:kern w:val="0"/>
          <w:sz w:val="32"/>
          <w:szCs w:val="32"/>
        </w:rPr>
        <w:t>公示</w:t>
      </w:r>
    </w:p>
    <w:p>
      <w:pPr>
        <w:snapToGrid w:val="0"/>
        <w:spacing w:line="312" w:lineRule="auto"/>
        <w:ind w:firstLine="640" w:firstLineChars="200"/>
        <w:jc w:val="left"/>
        <w:rPr>
          <w:rFonts w:ascii="仿宋_GB2312" w:hAnsi="仿宋_GB2312" w:eastAsia="仿宋_GB2312"/>
          <w:sz w:val="32"/>
          <w:szCs w:val="24"/>
        </w:rPr>
      </w:pPr>
      <w:r>
        <w:rPr>
          <w:rFonts w:hint="eastAsia" w:ascii="仿宋_GB2312" w:hAnsi="仿宋_GB2312" w:eastAsia="仿宋_GB2312"/>
          <w:sz w:val="32"/>
          <w:szCs w:val="24"/>
        </w:rPr>
        <w:t>1.合作区经济发展局将审核情况在合作区官网和合作区惠企利民服务平台向社会进行公示，</w:t>
      </w:r>
      <w:r>
        <w:rPr>
          <w:rFonts w:hint="eastAsia" w:ascii="仿宋_GB2312" w:hAnsi="仿宋_GB2312" w:eastAsia="仿宋_GB2312"/>
          <w:b/>
          <w:bCs/>
          <w:sz w:val="32"/>
          <w:szCs w:val="24"/>
        </w:rPr>
        <w:t>公示期为5天</w:t>
      </w:r>
      <w:r>
        <w:rPr>
          <w:rFonts w:hint="eastAsia" w:ascii="仿宋_GB2312" w:hAnsi="仿宋_GB2312" w:eastAsia="仿宋_GB2312"/>
          <w:sz w:val="32"/>
          <w:szCs w:val="24"/>
        </w:rPr>
        <w:t>；</w:t>
      </w:r>
    </w:p>
    <w:p>
      <w:pPr>
        <w:snapToGrid w:val="0"/>
        <w:spacing w:line="312" w:lineRule="auto"/>
        <w:ind w:firstLine="640" w:firstLineChars="200"/>
        <w:jc w:val="left"/>
        <w:rPr>
          <w:rFonts w:ascii="仿宋_GB2312" w:hAnsi="仿宋_GB2312" w:eastAsia="仿宋_GB2312"/>
          <w:sz w:val="32"/>
          <w:szCs w:val="24"/>
        </w:rPr>
      </w:pPr>
      <w:r>
        <w:rPr>
          <w:rFonts w:hint="eastAsia" w:ascii="仿宋_GB2312" w:hAnsi="仿宋_GB2312" w:eastAsia="仿宋_GB2312"/>
          <w:sz w:val="32"/>
          <w:szCs w:val="24"/>
        </w:rPr>
        <w:t>2. 已申请资金的企业和机构如对</w:t>
      </w:r>
      <w:r>
        <w:rPr>
          <w:rFonts w:hint="eastAsia" w:ascii="仿宋_GB2312" w:hAnsi="仿宋_GB2312" w:eastAsia="仿宋_GB2312" w:cs="仿宋_GB2312"/>
          <w:sz w:val="32"/>
          <w:szCs w:val="32"/>
          <w:shd w:val="clear" w:color="auto" w:fill="FFFFFF"/>
        </w:rPr>
        <w:t>评审</w:t>
      </w:r>
      <w:r>
        <w:rPr>
          <w:rFonts w:hint="eastAsia" w:ascii="仿宋_GB2312" w:hAnsi="仿宋_GB2312" w:eastAsia="仿宋_GB2312"/>
          <w:sz w:val="32"/>
          <w:szCs w:val="24"/>
        </w:rPr>
        <w:t>结果有异议，须于公示期内通过横琴粤澳深度合作区惠企利民服务平台申诉通道反馈，逾期不予受理。其他单位或个人如对</w:t>
      </w:r>
      <w:r>
        <w:rPr>
          <w:rFonts w:hint="eastAsia" w:ascii="仿宋_GB2312" w:hAnsi="仿宋_GB2312" w:eastAsia="仿宋_GB2312" w:cs="仿宋_GB2312"/>
          <w:sz w:val="32"/>
          <w:szCs w:val="32"/>
          <w:shd w:val="clear" w:color="auto" w:fill="FFFFFF"/>
        </w:rPr>
        <w:t>评审</w:t>
      </w:r>
      <w:r>
        <w:rPr>
          <w:rFonts w:hint="eastAsia" w:ascii="仿宋_GB2312" w:hAnsi="仿宋_GB2312" w:eastAsia="仿宋_GB2312"/>
          <w:sz w:val="32"/>
          <w:szCs w:val="24"/>
        </w:rPr>
        <w:t>结果有异议，请于公示期内以书面形式向合作区经济发展局反映，逾期不予受理；</w:t>
      </w:r>
    </w:p>
    <w:p>
      <w:pPr>
        <w:snapToGrid w:val="0"/>
        <w:spacing w:line="312" w:lineRule="auto"/>
        <w:ind w:firstLine="640" w:firstLineChars="200"/>
        <w:jc w:val="left"/>
        <w:rPr>
          <w:rFonts w:ascii="仿宋_GB2312" w:hAnsi="仿宋_GB2312" w:eastAsia="仿宋_GB2312"/>
          <w:sz w:val="32"/>
          <w:szCs w:val="24"/>
        </w:rPr>
      </w:pPr>
      <w:r>
        <w:rPr>
          <w:rFonts w:hint="eastAsia" w:ascii="仿宋_GB2312" w:hAnsi="仿宋_GB2312" w:eastAsia="仿宋_GB2312"/>
          <w:sz w:val="32"/>
          <w:szCs w:val="24"/>
        </w:rPr>
        <w:t>3. 反映情况和问题应坚持实事求是原则，以个人名义反映情况的，请提供真实姓名、联系方式和反映事项证明材料等；以单位名义反映情况的，请提供单位真实名称（加盖公章）、联系人、联系方式和反映事项证明材料等。</w:t>
      </w:r>
    </w:p>
    <w:p>
      <w:pPr>
        <w:snapToGrid w:val="0"/>
        <w:spacing w:line="312" w:lineRule="auto"/>
        <w:ind w:firstLine="643" w:firstLineChars="200"/>
        <w:jc w:val="left"/>
        <w:rPr>
          <w:rFonts w:ascii="Times New Roman" w:hAnsi="Times New Roman" w:eastAsia="楷体" w:cs="Times New Roman"/>
          <w:b/>
          <w:bCs/>
          <w:kern w:val="0"/>
          <w:sz w:val="32"/>
          <w:szCs w:val="32"/>
        </w:rPr>
      </w:pPr>
      <w:r>
        <w:rPr>
          <w:rFonts w:ascii="Times New Roman" w:hAnsi="Times New Roman" w:eastAsia="楷体" w:cs="Times New Roman"/>
          <w:b/>
          <w:bCs/>
          <w:kern w:val="0"/>
          <w:sz w:val="32"/>
          <w:szCs w:val="32"/>
          <w:lang w:val="zh-CN"/>
        </w:rPr>
        <w:t>（</w:t>
      </w:r>
      <w:r>
        <w:rPr>
          <w:rFonts w:hint="eastAsia" w:ascii="Times New Roman" w:hAnsi="Times New Roman" w:eastAsia="楷体" w:cs="Times New Roman"/>
          <w:b/>
          <w:bCs/>
          <w:kern w:val="0"/>
          <w:sz w:val="32"/>
          <w:szCs w:val="32"/>
          <w:lang w:val="zh-CN"/>
        </w:rPr>
        <w:t>五</w:t>
      </w:r>
      <w:r>
        <w:rPr>
          <w:rFonts w:ascii="Times New Roman" w:hAnsi="Times New Roman" w:eastAsia="楷体" w:cs="Times New Roman"/>
          <w:b/>
          <w:bCs/>
          <w:kern w:val="0"/>
          <w:sz w:val="32"/>
          <w:szCs w:val="32"/>
          <w:lang w:val="zh-CN"/>
        </w:rPr>
        <w:t>）</w:t>
      </w:r>
      <w:r>
        <w:rPr>
          <w:rFonts w:hint="eastAsia" w:ascii="Times New Roman" w:hAnsi="Times New Roman" w:eastAsia="楷体" w:cs="Times New Roman"/>
          <w:b/>
          <w:bCs/>
          <w:kern w:val="0"/>
          <w:sz w:val="32"/>
          <w:szCs w:val="32"/>
        </w:rPr>
        <w:t>资金拨付</w:t>
      </w:r>
    </w:p>
    <w:p>
      <w:pPr>
        <w:snapToGrid w:val="0"/>
        <w:spacing w:line="312" w:lineRule="auto"/>
        <w:ind w:firstLine="640" w:firstLineChars="200"/>
        <w:jc w:val="left"/>
        <w:rPr>
          <w:rFonts w:ascii="仿宋_GB2312" w:hAnsi="仿宋_GB2312" w:eastAsia="仿宋_GB2312"/>
          <w:sz w:val="32"/>
          <w:szCs w:val="24"/>
        </w:rPr>
      </w:pPr>
      <w:r>
        <w:rPr>
          <w:rFonts w:hint="eastAsia" w:ascii="仿宋_GB2312" w:hAnsi="仿宋_GB2312" w:eastAsia="仿宋_GB2312"/>
          <w:sz w:val="32"/>
          <w:szCs w:val="24"/>
        </w:rPr>
        <w:t>经公示无异议或异议不成立的企业和机构，由合作区经济发展局拨付资金。</w:t>
      </w:r>
    </w:p>
    <w:p>
      <w:pPr>
        <w:pStyle w:val="15"/>
        <w:adjustRightInd w:val="0"/>
        <w:snapToGrid w:val="0"/>
        <w:spacing w:line="312" w:lineRule="auto"/>
        <w:ind w:firstLine="64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八、注意事项</w:t>
      </w:r>
    </w:p>
    <w:p>
      <w:pPr>
        <w:snapToGrid w:val="0"/>
        <w:spacing w:line="312" w:lineRule="auto"/>
        <w:ind w:firstLine="640" w:firstLineChars="200"/>
        <w:jc w:val="left"/>
        <w:rPr>
          <w:rFonts w:ascii="仿宋_GB2312" w:hAnsi="仿宋_GB2312" w:eastAsia="仿宋_GB2312"/>
          <w:sz w:val="32"/>
          <w:szCs w:val="24"/>
        </w:rPr>
      </w:pPr>
      <w:r>
        <w:rPr>
          <w:rFonts w:hint="eastAsia" w:ascii="仿宋_GB2312" w:hAnsi="仿宋_GB2312" w:eastAsia="仿宋_GB2312"/>
          <w:sz w:val="32"/>
          <w:szCs w:val="24"/>
        </w:rPr>
        <w:t>（一）申报单位须按申报时间节点要求尽早填报，逾期视为自动放弃。</w:t>
      </w:r>
    </w:p>
    <w:p>
      <w:pPr>
        <w:snapToGrid w:val="0"/>
        <w:spacing w:line="312" w:lineRule="auto"/>
        <w:ind w:firstLine="640" w:firstLineChars="200"/>
        <w:jc w:val="left"/>
        <w:rPr>
          <w:rFonts w:ascii="仿宋_GB2312" w:hAnsi="仿宋_GB2312" w:eastAsia="仿宋_GB2312"/>
          <w:sz w:val="32"/>
          <w:szCs w:val="24"/>
        </w:rPr>
      </w:pPr>
      <w:r>
        <w:rPr>
          <w:rFonts w:hint="eastAsia" w:ascii="仿宋_GB2312" w:hAnsi="仿宋_GB2312" w:eastAsia="仿宋_GB2312"/>
          <w:sz w:val="32"/>
          <w:szCs w:val="24"/>
        </w:rPr>
        <w:t>（二）因信息填报不准确、申请材料不规范或者不齐全等原因退回申请的，</w:t>
      </w:r>
      <w:r>
        <w:rPr>
          <w:rFonts w:hint="eastAsia" w:ascii="仿宋_GB2312" w:hAnsi="仿宋_GB2312" w:eastAsia="仿宋_GB2312"/>
          <w:b/>
          <w:bCs/>
          <w:sz w:val="32"/>
          <w:szCs w:val="24"/>
        </w:rPr>
        <w:t>申报单位须在2个工作日内补充完善相应材料</w:t>
      </w:r>
      <w:r>
        <w:rPr>
          <w:rFonts w:hint="eastAsia" w:ascii="仿宋_GB2312" w:hAnsi="仿宋_GB2312" w:eastAsia="仿宋_GB2312"/>
          <w:sz w:val="32"/>
          <w:szCs w:val="24"/>
        </w:rPr>
        <w:t>，逾期视为自动放弃。</w:t>
      </w:r>
    </w:p>
    <w:p>
      <w:pPr>
        <w:snapToGrid w:val="0"/>
        <w:spacing w:line="312" w:lineRule="auto"/>
        <w:ind w:firstLine="640" w:firstLineChars="200"/>
        <w:jc w:val="left"/>
        <w:rPr>
          <w:rFonts w:ascii="仿宋_GB2312" w:hAnsi="仿宋_GB2312" w:eastAsia="仿宋_GB2312"/>
          <w:sz w:val="32"/>
          <w:szCs w:val="24"/>
        </w:rPr>
      </w:pPr>
      <w:bookmarkStart w:id="35" w:name="OLE_LINK5"/>
      <w:bookmarkStart w:id="36" w:name="OLE_LINK4"/>
      <w:r>
        <w:rPr>
          <w:rFonts w:hint="eastAsia" w:ascii="仿宋_GB2312" w:hAnsi="仿宋_GB2312" w:eastAsia="仿宋_GB2312"/>
          <w:sz w:val="32"/>
          <w:szCs w:val="24"/>
        </w:rPr>
        <w:t>（三）</w:t>
      </w:r>
      <w:bookmarkEnd w:id="35"/>
      <w:bookmarkEnd w:id="36"/>
      <w:r>
        <w:rPr>
          <w:rFonts w:hint="eastAsia" w:ascii="仿宋_GB2312" w:hAnsi="仿宋_GB2312" w:eastAsia="仿宋_GB2312"/>
          <w:sz w:val="32"/>
          <w:szCs w:val="24"/>
        </w:rPr>
        <w:t>本次申报采取全流程无纸化线上系统申报。纸质原件材料请申报单位留存备查</w:t>
      </w:r>
      <w:r>
        <w:rPr>
          <w:rFonts w:hint="eastAsia" w:ascii="仿宋_GB2312" w:hAnsi="仿宋_GB2312" w:eastAsia="仿宋_GB2312"/>
          <w:b/>
          <w:bCs/>
          <w:sz w:val="32"/>
          <w:szCs w:val="24"/>
          <w:u w:val="single"/>
        </w:rPr>
        <w:t>（上传系统的申报材料应为原件扫描件，并加盖公章和骑缝章）</w:t>
      </w:r>
      <w:r>
        <w:rPr>
          <w:rFonts w:hint="eastAsia" w:ascii="仿宋_GB2312" w:hAnsi="仿宋_GB2312" w:eastAsia="仿宋_GB2312"/>
          <w:sz w:val="32"/>
          <w:szCs w:val="24"/>
        </w:rPr>
        <w:t>。</w:t>
      </w:r>
    </w:p>
    <w:p>
      <w:pPr>
        <w:snapToGrid w:val="0"/>
        <w:spacing w:line="312" w:lineRule="auto"/>
        <w:ind w:firstLine="640" w:firstLineChars="200"/>
        <w:jc w:val="left"/>
        <w:rPr>
          <w:rFonts w:ascii="仿宋_GB2312" w:hAnsi="仿宋_GB2312" w:eastAsia="仿宋_GB2312"/>
          <w:sz w:val="32"/>
          <w:szCs w:val="24"/>
        </w:rPr>
      </w:pPr>
      <w:r>
        <w:rPr>
          <w:rFonts w:hint="eastAsia" w:ascii="仿宋_GB2312" w:hAnsi="仿宋_GB2312" w:eastAsia="仿宋_GB2312"/>
          <w:sz w:val="32"/>
          <w:szCs w:val="24"/>
        </w:rPr>
        <w:t>（四）申报内容须真实可信，不得夸大自身实力、技术和经济指标。各申报单位须对申报材料的真实性负责，严格遵守中共中央办公厅、国务院办公厅《关于进一步加强科研诚信建设的若干意见》（厅字〔2018〕23号）相关规定，加强对申报材料审核把关，杜绝夸大不实，弄虚作假。各申报单位、单位负责人须签署《承诺书》。</w:t>
      </w:r>
    </w:p>
    <w:p>
      <w:pPr>
        <w:pStyle w:val="15"/>
        <w:adjustRightInd w:val="0"/>
        <w:snapToGrid w:val="0"/>
        <w:spacing w:line="312" w:lineRule="auto"/>
        <w:ind w:firstLine="64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九、咨询电话</w:t>
      </w:r>
    </w:p>
    <w:p>
      <w:pPr>
        <w:pStyle w:val="15"/>
        <w:adjustRightInd w:val="0"/>
        <w:snapToGrid w:val="0"/>
        <w:spacing w:line="312" w:lineRule="auto"/>
        <w:ind w:firstLine="640"/>
        <w:rPr>
          <w:rFonts w:ascii="仿宋_GB2312" w:hAnsi="仿宋_GB2312" w:eastAsia="仿宋_GB2312"/>
          <w:sz w:val="32"/>
          <w:szCs w:val="24"/>
        </w:rPr>
      </w:pPr>
      <w:r>
        <w:rPr>
          <w:rFonts w:hint="eastAsia" w:ascii="仿宋_GB2312" w:hAnsi="仿宋_GB2312" w:eastAsia="仿宋_GB2312"/>
          <w:sz w:val="32"/>
          <w:szCs w:val="24"/>
        </w:rPr>
        <w:t>政策审核咨询：</w:t>
      </w:r>
      <w:r>
        <w:rPr>
          <w:rFonts w:ascii="仿宋_GB2312" w:hAnsi="仿宋_GB2312" w:eastAsia="仿宋_GB2312"/>
          <w:sz w:val="32"/>
          <w:szCs w:val="24"/>
        </w:rPr>
        <w:t>020-83163410</w:t>
      </w:r>
      <w:r>
        <w:rPr>
          <w:rFonts w:hint="eastAsia" w:ascii="仿宋_GB2312" w:hAnsi="仿宋_GB2312" w:eastAsia="仿宋_GB2312"/>
          <w:sz w:val="32"/>
          <w:szCs w:val="24"/>
        </w:rPr>
        <w:t>、</w:t>
      </w:r>
      <w:r>
        <w:rPr>
          <w:rFonts w:ascii="仿宋_GB2312" w:hAnsi="仿宋_GB2312" w:eastAsia="仿宋_GB2312"/>
          <w:sz w:val="32"/>
          <w:szCs w:val="24"/>
        </w:rPr>
        <w:t>020-83163487</w:t>
      </w:r>
      <w:r>
        <w:rPr>
          <w:rFonts w:hint="eastAsia" w:ascii="仿宋_GB2312" w:hAnsi="仿宋_GB2312" w:eastAsia="仿宋_GB2312"/>
          <w:sz w:val="32"/>
          <w:szCs w:val="24"/>
        </w:rPr>
        <w:t>、</w:t>
      </w:r>
      <w:r>
        <w:rPr>
          <w:rFonts w:ascii="仿宋_GB2312" w:hAnsi="仿宋_GB2312" w:eastAsia="仿宋_GB2312"/>
          <w:sz w:val="32"/>
          <w:szCs w:val="24"/>
        </w:rPr>
        <w:t>0756-8936031</w:t>
      </w:r>
    </w:p>
    <w:p>
      <w:pPr>
        <w:pStyle w:val="15"/>
        <w:adjustRightInd w:val="0"/>
        <w:snapToGrid w:val="0"/>
        <w:spacing w:line="312" w:lineRule="auto"/>
        <w:ind w:firstLine="640"/>
        <w:rPr>
          <w:rFonts w:ascii="仿宋_GB2312" w:hAnsi="仿宋_GB2312" w:eastAsia="仿宋_GB2312"/>
          <w:sz w:val="32"/>
          <w:szCs w:val="24"/>
        </w:rPr>
      </w:pPr>
      <w:r>
        <w:rPr>
          <w:rFonts w:hint="eastAsia" w:ascii="仿宋_GB2312" w:hAnsi="仿宋_GB2312" w:eastAsia="仿宋_GB2312"/>
          <w:sz w:val="32"/>
          <w:szCs w:val="24"/>
        </w:rPr>
        <w:t>系统技术支持：</w:t>
      </w:r>
      <w:r>
        <w:rPr>
          <w:rFonts w:ascii="仿宋_GB2312" w:hAnsi="仿宋_GB2312" w:eastAsia="仿宋_GB2312"/>
          <w:sz w:val="32"/>
          <w:szCs w:val="24"/>
        </w:rPr>
        <w:t>0756-8841172</w:t>
      </w:r>
    </w:p>
    <w:p>
      <w:pPr>
        <w:pStyle w:val="15"/>
        <w:adjustRightInd w:val="0"/>
        <w:snapToGrid w:val="0"/>
        <w:spacing w:line="312" w:lineRule="auto"/>
        <w:ind w:firstLine="640"/>
        <w:rPr>
          <w:rFonts w:ascii="仿宋_GB2312" w:hAnsi="仿宋_GB2312" w:eastAsia="仿宋_GB2312"/>
          <w:sz w:val="32"/>
          <w:szCs w:val="24"/>
        </w:rPr>
      </w:pPr>
      <w:r>
        <w:rPr>
          <w:rFonts w:hint="eastAsia" w:ascii="仿宋_GB2312" w:hAnsi="仿宋_GB2312" w:eastAsia="仿宋_GB2312"/>
          <w:sz w:val="32"/>
          <w:szCs w:val="24"/>
        </w:rPr>
        <w:t>（咨询时间为工作日</w:t>
      </w:r>
      <w:r>
        <w:rPr>
          <w:rFonts w:ascii="仿宋_GB2312" w:hAnsi="仿宋_GB2312" w:eastAsia="仿宋_GB2312"/>
          <w:sz w:val="32"/>
          <w:szCs w:val="24"/>
        </w:rPr>
        <w:t>9:00-12:00 , 14:00-18:00</w:t>
      </w:r>
      <w:r>
        <w:rPr>
          <w:rFonts w:hint="eastAsia" w:ascii="仿宋_GB2312" w:hAnsi="仿宋_GB2312" w:eastAsia="仿宋_GB2312"/>
          <w:sz w:val="32"/>
          <w:szCs w:val="24"/>
        </w:rPr>
        <w:t>）</w:t>
      </w:r>
    </w:p>
    <w:p>
      <w:pPr>
        <w:pStyle w:val="15"/>
        <w:adjustRightInd w:val="0"/>
        <w:snapToGrid w:val="0"/>
        <w:spacing w:line="312" w:lineRule="auto"/>
        <w:ind w:firstLine="64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十、相关附件</w:t>
      </w:r>
    </w:p>
    <w:p>
      <w:pPr>
        <w:spacing w:line="579" w:lineRule="exact"/>
        <w:ind w:firstLine="640" w:firstLineChars="200"/>
        <w:jc w:val="left"/>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1.</w:t>
      </w:r>
      <w:r>
        <w:rPr>
          <w:rFonts w:hint="eastAsia" w:ascii="Times New Roman" w:hAnsi="Times New Roman" w:eastAsia="仿宋_GB2312" w:cs="Times New Roman"/>
          <w:color w:val="000000" w:themeColor="text1"/>
          <w:sz w:val="32"/>
          <w:szCs w:val="32"/>
          <w:lang w:val="zh-CN"/>
          <w14:textFill>
            <w14:solidFill>
              <w14:schemeClr w14:val="tx1"/>
            </w14:solidFill>
          </w14:textFill>
        </w:rPr>
        <w:t>《横琴粤澳深度合作区支持研发及成果转化实施办法》（第</w:t>
      </w:r>
      <w:r>
        <w:rPr>
          <w:rFonts w:ascii="Times New Roman" w:hAnsi="Times New Roman" w:eastAsia="仿宋_GB2312" w:cs="Times New Roman"/>
          <w:color w:val="000000" w:themeColor="text1"/>
          <w:sz w:val="32"/>
          <w:szCs w:val="32"/>
          <w:lang w:val="zh-CN"/>
          <w14:textFill>
            <w14:solidFill>
              <w14:schemeClr w14:val="tx1"/>
            </w14:solidFill>
          </w14:textFill>
        </w:rPr>
        <w:t>9/2024</w:t>
      </w:r>
      <w:r>
        <w:rPr>
          <w:rFonts w:hint="eastAsia" w:ascii="Times New Roman" w:hAnsi="Times New Roman" w:eastAsia="仿宋_GB2312" w:cs="Times New Roman"/>
          <w:color w:val="000000" w:themeColor="text1"/>
          <w:sz w:val="32"/>
          <w:szCs w:val="32"/>
          <w:lang w:val="zh-CN"/>
          <w14:textFill>
            <w14:solidFill>
              <w14:schemeClr w14:val="tx1"/>
            </w14:solidFill>
          </w14:textFill>
        </w:rPr>
        <w:t>号执行委员会经济发展局规范性文件）</w:t>
      </w:r>
    </w:p>
    <w:p>
      <w:pPr>
        <w:spacing w:line="579" w:lineRule="exact"/>
        <w:ind w:firstLine="640" w:firstLineChars="20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2.</w:t>
      </w:r>
      <w:r>
        <w:rPr>
          <w:rFonts w:hint="eastAsia" w:ascii="Times New Roman" w:hAnsi="Times New Roman" w:eastAsia="仿宋_GB2312" w:cs="Times New Roman"/>
          <w:color w:val="000000" w:themeColor="text1"/>
          <w:sz w:val="32"/>
          <w:szCs w:val="32"/>
          <w:lang w:val="zh-CN"/>
          <w14:textFill>
            <w14:solidFill>
              <w14:schemeClr w14:val="tx1"/>
            </w14:solidFill>
          </w14:textFill>
        </w:rPr>
        <w:t>《横琴粤澳深度合作区企业实质性运营认定规则》（第</w:t>
      </w:r>
      <w:r>
        <w:rPr>
          <w:rFonts w:ascii="Times New Roman" w:hAnsi="Times New Roman" w:eastAsia="仿宋_GB2312" w:cs="Times New Roman"/>
          <w:color w:val="000000" w:themeColor="text1"/>
          <w:sz w:val="32"/>
          <w:szCs w:val="32"/>
          <w:lang w:val="zh-CN"/>
          <w14:textFill>
            <w14:solidFill>
              <w14:schemeClr w14:val="tx1"/>
            </w14:solidFill>
          </w14:textFill>
        </w:rPr>
        <w:t xml:space="preserve">2/2023 </w:t>
      </w:r>
      <w:r>
        <w:rPr>
          <w:rFonts w:hint="eastAsia" w:ascii="Times New Roman" w:hAnsi="Times New Roman" w:eastAsia="仿宋_GB2312" w:cs="Times New Roman"/>
          <w:color w:val="000000" w:themeColor="text1"/>
          <w:sz w:val="32"/>
          <w:szCs w:val="32"/>
          <w:lang w:val="zh-CN"/>
          <w14:textFill>
            <w14:solidFill>
              <w14:schemeClr w14:val="tx1"/>
            </w14:solidFill>
          </w14:textFill>
        </w:rPr>
        <w:t>号执行委会规范性文件）</w:t>
      </w:r>
    </w:p>
    <w:p>
      <w:pPr>
        <w:adjustRightInd w:val="0"/>
        <w:snapToGrid w:val="0"/>
        <w:spacing w:line="579" w:lineRule="exact"/>
        <w:ind w:firstLine="640" w:firstLineChars="200"/>
        <w:jc w:val="left"/>
        <w:rPr>
          <w:rFonts w:ascii="Times New Roman" w:hAnsi="Times New Roman" w:eastAsia="仿宋_GB2312" w:cs="Times New Roman"/>
          <w:kern w:val="0"/>
          <w:sz w:val="32"/>
          <w:szCs w:val="32"/>
          <w:shd w:val="clear" w:color="auto" w:fill="FFFFFF"/>
          <w:lang w:bidi="ar"/>
        </w:rPr>
      </w:pPr>
      <w:r>
        <w:rPr>
          <w:rFonts w:ascii="Times New Roman" w:hAnsi="Times New Roman" w:eastAsia="仿宋_GB2312" w:cs="Times New Roman"/>
          <w:color w:val="000000" w:themeColor="text1"/>
          <w:kern w:val="0"/>
          <w:sz w:val="32"/>
          <w:szCs w:val="32"/>
          <w14:textFill>
            <w14:solidFill>
              <w14:schemeClr w14:val="tx1"/>
            </w14:solidFill>
          </w14:textFill>
        </w:rPr>
        <w:t xml:space="preserve">3. </w:t>
      </w:r>
      <w:bookmarkStart w:id="37" w:name="_Hlk203731183"/>
      <w:r>
        <w:rPr>
          <w:rFonts w:hint="eastAsia" w:ascii="Times New Roman" w:hAnsi="Times New Roman" w:eastAsia="仿宋_GB2312" w:cs="Times New Roman"/>
          <w:kern w:val="0"/>
          <w:sz w:val="32"/>
          <w:szCs w:val="32"/>
          <w:shd w:val="clear" w:color="auto" w:fill="FFFFFF"/>
          <w:lang w:bidi="ar"/>
        </w:rPr>
        <w:t>《</w:t>
      </w:r>
      <w:r>
        <w:rPr>
          <w:rFonts w:ascii="Times New Roman" w:hAnsi="Times New Roman" w:eastAsia="仿宋_GB2312" w:cs="Times New Roman"/>
          <w:kern w:val="0"/>
          <w:sz w:val="32"/>
          <w:szCs w:val="32"/>
          <w:shd w:val="clear" w:color="auto" w:fill="FFFFFF"/>
          <w:lang w:bidi="ar"/>
        </w:rPr>
        <w:t>2024</w:t>
      </w:r>
      <w:r>
        <w:rPr>
          <w:rFonts w:hint="eastAsia" w:ascii="Times New Roman" w:hAnsi="Times New Roman" w:eastAsia="仿宋_GB2312" w:cs="Times New Roman"/>
          <w:kern w:val="0"/>
          <w:sz w:val="32"/>
          <w:szCs w:val="32"/>
          <w:shd w:val="clear" w:color="auto" w:fill="FFFFFF"/>
          <w:lang w:bidi="ar"/>
        </w:rPr>
        <w:t>年度横琴粤澳深度合作区前沿技术应用场景支持项目申请表》</w:t>
      </w:r>
      <w:bookmarkEnd w:id="37"/>
    </w:p>
    <w:p>
      <w:pPr>
        <w:adjustRightInd w:val="0"/>
        <w:snapToGrid w:val="0"/>
        <w:spacing w:line="579" w:lineRule="exact"/>
        <w:ind w:firstLine="640" w:firstLineChars="200"/>
        <w:jc w:val="left"/>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4.</w:t>
      </w:r>
      <w:r>
        <w:rPr>
          <w:rFonts w:ascii="Times New Roman" w:hAnsi="Times New Roman" w:eastAsia="仿宋_GB2312" w:cs="Times New Roman"/>
        </w:rPr>
        <w:t xml:space="preserve"> </w:t>
      </w:r>
      <w:r>
        <w:rPr>
          <w:rFonts w:hint="eastAsia" w:ascii="Times New Roman" w:hAnsi="Times New Roman" w:eastAsia="仿宋_GB2312" w:cs="Times New Roman"/>
          <w:color w:val="000000" w:themeColor="text1"/>
          <w:kern w:val="0"/>
          <w:sz w:val="32"/>
          <w:szCs w:val="32"/>
          <w14:textFill>
            <w14:solidFill>
              <w14:schemeClr w14:val="tx1"/>
            </w14:solidFill>
          </w14:textFill>
        </w:rPr>
        <w:t>《</w:t>
      </w:r>
      <w:bookmarkStart w:id="38" w:name="OLE_LINK10"/>
      <w:bookmarkStart w:id="39" w:name="OLE_LINK9"/>
      <w:r>
        <w:rPr>
          <w:rFonts w:hint="eastAsia" w:ascii="Times New Roman" w:hAnsi="Times New Roman" w:eastAsia="仿宋_GB2312" w:cs="Times New Roman"/>
          <w:color w:val="000000" w:themeColor="text1"/>
          <w:kern w:val="0"/>
          <w:sz w:val="32"/>
          <w:szCs w:val="32"/>
          <w14:textFill>
            <w14:solidFill>
              <w14:schemeClr w14:val="tx1"/>
            </w14:solidFill>
          </w14:textFill>
        </w:rPr>
        <w:t>关于进一步加强科研诚信建设的若干意见</w:t>
      </w:r>
      <w:bookmarkEnd w:id="38"/>
      <w:bookmarkEnd w:id="39"/>
      <w:r>
        <w:rPr>
          <w:rFonts w:hint="eastAsia" w:ascii="Times New Roman" w:hAnsi="Times New Roman" w:eastAsia="仿宋_GB2312" w:cs="Times New Roman"/>
          <w:color w:val="000000" w:themeColor="text1"/>
          <w:kern w:val="0"/>
          <w:sz w:val="32"/>
          <w:szCs w:val="32"/>
          <w14:textFill>
            <w14:solidFill>
              <w14:schemeClr w14:val="tx1"/>
            </w14:solidFill>
          </w14:textFill>
        </w:rPr>
        <w:t>》（厅字〔</w:t>
      </w:r>
      <w:r>
        <w:rPr>
          <w:rFonts w:ascii="Times New Roman" w:hAnsi="Times New Roman" w:eastAsia="仿宋_GB2312" w:cs="Times New Roman"/>
          <w:color w:val="000000" w:themeColor="text1"/>
          <w:kern w:val="0"/>
          <w:sz w:val="32"/>
          <w:szCs w:val="32"/>
          <w14:textFill>
            <w14:solidFill>
              <w14:schemeClr w14:val="tx1"/>
            </w14:solidFill>
          </w14:textFill>
        </w:rPr>
        <w:t>2018</w:t>
      </w:r>
      <w:r>
        <w:rPr>
          <w:rFonts w:hint="eastAsia" w:ascii="Times New Roman" w:hAnsi="Times New Roman" w:eastAsia="仿宋_GB2312" w:cs="Times New Roman"/>
          <w:color w:val="000000" w:themeColor="text1"/>
          <w:kern w:val="0"/>
          <w:sz w:val="32"/>
          <w:szCs w:val="32"/>
          <w14:textFill>
            <w14:solidFill>
              <w14:schemeClr w14:val="tx1"/>
            </w14:solidFill>
          </w14:textFill>
        </w:rPr>
        <w:t>〕</w:t>
      </w:r>
      <w:r>
        <w:rPr>
          <w:rFonts w:ascii="Times New Roman" w:hAnsi="Times New Roman" w:eastAsia="仿宋_GB2312" w:cs="Times New Roman"/>
          <w:color w:val="000000" w:themeColor="text1"/>
          <w:kern w:val="0"/>
          <w:sz w:val="32"/>
          <w:szCs w:val="32"/>
          <w14:textFill>
            <w14:solidFill>
              <w14:schemeClr w14:val="tx1"/>
            </w14:solidFill>
          </w14:textFill>
        </w:rPr>
        <w:t>23</w:t>
      </w:r>
      <w:r>
        <w:rPr>
          <w:rFonts w:hint="eastAsia" w:ascii="Times New Roman" w:hAnsi="Times New Roman" w:eastAsia="仿宋_GB2312" w:cs="Times New Roman"/>
          <w:color w:val="000000" w:themeColor="text1"/>
          <w:kern w:val="0"/>
          <w:sz w:val="32"/>
          <w:szCs w:val="32"/>
          <w14:textFill>
            <w14:solidFill>
              <w14:schemeClr w14:val="tx1"/>
            </w14:solidFill>
          </w14:textFill>
        </w:rPr>
        <w:t>号）</w:t>
      </w:r>
    </w:p>
    <w:p>
      <w:pPr>
        <w:pStyle w:val="15"/>
        <w:adjustRightInd w:val="0"/>
        <w:snapToGrid w:val="0"/>
        <w:spacing w:line="312" w:lineRule="auto"/>
        <w:ind w:firstLine="640"/>
        <w:outlineLvl w:val="0"/>
        <w:rPr>
          <w:rFonts w:ascii="Times New Roman" w:hAnsi="Times New Roman" w:eastAsia="黑体" w:cs="Times New Roman"/>
          <w:sz w:val="32"/>
          <w:szCs w:val="32"/>
        </w:rPr>
      </w:pPr>
    </w:p>
    <w:p>
      <w:pPr>
        <w:snapToGrid w:val="0"/>
        <w:spacing w:line="312" w:lineRule="auto"/>
        <w:ind w:firstLine="640" w:firstLineChars="200"/>
        <w:jc w:val="left"/>
        <w:rPr>
          <w:rFonts w:ascii="仿宋_GB2312" w:hAnsi="仿宋_GB2312" w:eastAsia="仿宋_GB2312"/>
          <w:sz w:val="32"/>
          <w:szCs w:val="24"/>
        </w:rPr>
      </w:pPr>
    </w:p>
    <w:p>
      <w:pPr>
        <w:snapToGrid w:val="0"/>
        <w:spacing w:line="312" w:lineRule="auto"/>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p>
    <w:p>
      <w:pPr>
        <w:adjustRightInd w:val="0"/>
        <w:snapToGrid w:val="0"/>
        <w:spacing w:line="312" w:lineRule="auto"/>
        <w:jc w:val="left"/>
        <w:rPr>
          <w:rFonts w:ascii="Times New Roman" w:hAnsi="Times New Roman" w:eastAsia="楷体_GB2312" w:cs="Times New Roman"/>
          <w:color w:val="000000" w:themeColor="text1"/>
          <w:sz w:val="32"/>
          <w:szCs w:val="32"/>
          <w14:textFill>
            <w14:solidFill>
              <w14:schemeClr w14:val="tx1"/>
            </w14:solidFill>
          </w14:textFill>
        </w:rPr>
      </w:pPr>
      <w:r>
        <w:rPr>
          <w:rFonts w:eastAsia="楷体_GB2312"/>
          <w:color w:val="000000"/>
          <w:sz w:val="32"/>
          <w:szCs w:val="32"/>
          <w:lang w:val="zh-CN"/>
        </w:rPr>
        <w:t>注：本申报指南由横琴</w:t>
      </w:r>
      <w:r>
        <w:rPr>
          <w:rFonts w:eastAsia="楷体_GB2312"/>
          <w:color w:val="000000"/>
          <w:sz w:val="32"/>
          <w:szCs w:val="32"/>
        </w:rPr>
        <w:t>粤澳深度合作区经济发展局</w:t>
      </w:r>
      <w:r>
        <w:rPr>
          <w:rFonts w:eastAsia="楷体_GB2312"/>
          <w:color w:val="000000"/>
          <w:sz w:val="32"/>
          <w:szCs w:val="32"/>
          <w:lang w:val="zh-CN"/>
        </w:rPr>
        <w:t>编制并解释。</w:t>
      </w:r>
    </w:p>
    <w:sectPr>
      <w:footerReference r:id="rId3" w:type="default"/>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r>
                            <w:rPr>
                              <w:rFonts w:hint="eastAsia"/>
                            </w:rPr>
                            <w:t xml:space="preserve"> 页 共 </w:t>
                          </w:r>
                          <w:r>
                            <w:fldChar w:fldCharType="begin"/>
                          </w:r>
                          <w:r>
                            <w:instrText xml:space="preserve"> NUMPAGES  \* MERGEFORMAT </w:instrText>
                          </w:r>
                          <w:r>
                            <w:fldChar w:fldCharType="separate"/>
                          </w:r>
                          <w:r>
                            <w:t>6</w:t>
                          </w:r>
                          <w: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r>
                      <w:rPr>
                        <w:rFonts w:hint="eastAsia"/>
                      </w:rPr>
                      <w:t xml:space="preserve"> 页 共 </w:t>
                    </w:r>
                    <w:r>
                      <w:fldChar w:fldCharType="begin"/>
                    </w:r>
                    <w:r>
                      <w:instrText xml:space="preserve"> NUMPAGES  \* MERGEFORMAT </w:instrText>
                    </w:r>
                    <w:r>
                      <w:fldChar w:fldCharType="separate"/>
                    </w:r>
                    <w:r>
                      <w:t>6</w:t>
                    </w:r>
                    <w:r>
                      <w:fldChar w:fldCharType="end"/>
                    </w:r>
                    <w:r>
                      <w:rPr>
                        <w:rFonts w:hint="eastAsia"/>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6F6"/>
    <w:rsid w:val="00006E8E"/>
    <w:rsid w:val="00021458"/>
    <w:rsid w:val="00024DD8"/>
    <w:rsid w:val="00027601"/>
    <w:rsid w:val="000433DE"/>
    <w:rsid w:val="0005095E"/>
    <w:rsid w:val="00057143"/>
    <w:rsid w:val="000612F5"/>
    <w:rsid w:val="00065396"/>
    <w:rsid w:val="00067638"/>
    <w:rsid w:val="000740AC"/>
    <w:rsid w:val="000772FA"/>
    <w:rsid w:val="0008462B"/>
    <w:rsid w:val="00087AD7"/>
    <w:rsid w:val="00087BCB"/>
    <w:rsid w:val="00087E2D"/>
    <w:rsid w:val="0009269A"/>
    <w:rsid w:val="00093E4E"/>
    <w:rsid w:val="000B0A73"/>
    <w:rsid w:val="000B6CF2"/>
    <w:rsid w:val="000B7E5E"/>
    <w:rsid w:val="000C0300"/>
    <w:rsid w:val="000D6BDF"/>
    <w:rsid w:val="000E19B8"/>
    <w:rsid w:val="000E726A"/>
    <w:rsid w:val="000E7B91"/>
    <w:rsid w:val="000F17FE"/>
    <w:rsid w:val="000F2DB5"/>
    <w:rsid w:val="00104AD6"/>
    <w:rsid w:val="00110288"/>
    <w:rsid w:val="00110BEF"/>
    <w:rsid w:val="00112E3E"/>
    <w:rsid w:val="00120D0D"/>
    <w:rsid w:val="00121BDF"/>
    <w:rsid w:val="001419FD"/>
    <w:rsid w:val="00144680"/>
    <w:rsid w:val="00154295"/>
    <w:rsid w:val="00172A27"/>
    <w:rsid w:val="00190558"/>
    <w:rsid w:val="001907D8"/>
    <w:rsid w:val="001A0FC0"/>
    <w:rsid w:val="001A33A9"/>
    <w:rsid w:val="001B6C4B"/>
    <w:rsid w:val="001E647A"/>
    <w:rsid w:val="001F5F50"/>
    <w:rsid w:val="00203F6D"/>
    <w:rsid w:val="002073F7"/>
    <w:rsid w:val="002135FD"/>
    <w:rsid w:val="0025624F"/>
    <w:rsid w:val="00261424"/>
    <w:rsid w:val="002760B6"/>
    <w:rsid w:val="002766C6"/>
    <w:rsid w:val="002912D9"/>
    <w:rsid w:val="00293F84"/>
    <w:rsid w:val="002A6C04"/>
    <w:rsid w:val="002D7DBD"/>
    <w:rsid w:val="002F051D"/>
    <w:rsid w:val="002F524E"/>
    <w:rsid w:val="002F6344"/>
    <w:rsid w:val="00306987"/>
    <w:rsid w:val="0032433D"/>
    <w:rsid w:val="0034362A"/>
    <w:rsid w:val="0034454A"/>
    <w:rsid w:val="00352684"/>
    <w:rsid w:val="00354471"/>
    <w:rsid w:val="00365305"/>
    <w:rsid w:val="003670BA"/>
    <w:rsid w:val="00372947"/>
    <w:rsid w:val="00374B38"/>
    <w:rsid w:val="00382B23"/>
    <w:rsid w:val="00387DCA"/>
    <w:rsid w:val="00397571"/>
    <w:rsid w:val="003A6267"/>
    <w:rsid w:val="003D066E"/>
    <w:rsid w:val="00407175"/>
    <w:rsid w:val="00410654"/>
    <w:rsid w:val="004154FE"/>
    <w:rsid w:val="00422698"/>
    <w:rsid w:val="00425568"/>
    <w:rsid w:val="00427F42"/>
    <w:rsid w:val="004375DF"/>
    <w:rsid w:val="00457B20"/>
    <w:rsid w:val="00473427"/>
    <w:rsid w:val="00485D10"/>
    <w:rsid w:val="004B2C4D"/>
    <w:rsid w:val="004B34CE"/>
    <w:rsid w:val="004C66A8"/>
    <w:rsid w:val="004E7312"/>
    <w:rsid w:val="004F3B31"/>
    <w:rsid w:val="004F3DF6"/>
    <w:rsid w:val="00505125"/>
    <w:rsid w:val="00510ED9"/>
    <w:rsid w:val="005162BA"/>
    <w:rsid w:val="00521824"/>
    <w:rsid w:val="00524C41"/>
    <w:rsid w:val="0052739B"/>
    <w:rsid w:val="005340DE"/>
    <w:rsid w:val="00550347"/>
    <w:rsid w:val="00580BF6"/>
    <w:rsid w:val="0058189A"/>
    <w:rsid w:val="005876C9"/>
    <w:rsid w:val="005A2072"/>
    <w:rsid w:val="005B07E7"/>
    <w:rsid w:val="005C15F9"/>
    <w:rsid w:val="005D2736"/>
    <w:rsid w:val="005E245B"/>
    <w:rsid w:val="005E6BC8"/>
    <w:rsid w:val="005F4744"/>
    <w:rsid w:val="0060336A"/>
    <w:rsid w:val="00622379"/>
    <w:rsid w:val="00624229"/>
    <w:rsid w:val="0062771F"/>
    <w:rsid w:val="00640CBF"/>
    <w:rsid w:val="00667D0F"/>
    <w:rsid w:val="006703F3"/>
    <w:rsid w:val="00692499"/>
    <w:rsid w:val="006A2584"/>
    <w:rsid w:val="006A7A10"/>
    <w:rsid w:val="006B6819"/>
    <w:rsid w:val="006E52B8"/>
    <w:rsid w:val="006E75E8"/>
    <w:rsid w:val="006E78BE"/>
    <w:rsid w:val="006F092D"/>
    <w:rsid w:val="006F4053"/>
    <w:rsid w:val="006F7F61"/>
    <w:rsid w:val="00700D4B"/>
    <w:rsid w:val="007079B6"/>
    <w:rsid w:val="00727BA8"/>
    <w:rsid w:val="00733A2B"/>
    <w:rsid w:val="00736F73"/>
    <w:rsid w:val="007518E4"/>
    <w:rsid w:val="0077384A"/>
    <w:rsid w:val="00777FE9"/>
    <w:rsid w:val="00787C24"/>
    <w:rsid w:val="007A223B"/>
    <w:rsid w:val="007A2EEA"/>
    <w:rsid w:val="007A5797"/>
    <w:rsid w:val="007B7566"/>
    <w:rsid w:val="007C1D07"/>
    <w:rsid w:val="007D2100"/>
    <w:rsid w:val="007D36B0"/>
    <w:rsid w:val="007E5681"/>
    <w:rsid w:val="0082279C"/>
    <w:rsid w:val="00824981"/>
    <w:rsid w:val="008272EE"/>
    <w:rsid w:val="008332B8"/>
    <w:rsid w:val="00837F71"/>
    <w:rsid w:val="0085578E"/>
    <w:rsid w:val="00875BD6"/>
    <w:rsid w:val="00895A4B"/>
    <w:rsid w:val="008A0227"/>
    <w:rsid w:val="008A2DB1"/>
    <w:rsid w:val="008A3BCF"/>
    <w:rsid w:val="008A67FD"/>
    <w:rsid w:val="008B01A3"/>
    <w:rsid w:val="008B2DFE"/>
    <w:rsid w:val="008B371F"/>
    <w:rsid w:val="008B5ADC"/>
    <w:rsid w:val="008E7A05"/>
    <w:rsid w:val="009074A4"/>
    <w:rsid w:val="00911AED"/>
    <w:rsid w:val="00926258"/>
    <w:rsid w:val="00935188"/>
    <w:rsid w:val="00941B41"/>
    <w:rsid w:val="00944F11"/>
    <w:rsid w:val="009477EC"/>
    <w:rsid w:val="009523F6"/>
    <w:rsid w:val="00963C30"/>
    <w:rsid w:val="0096522C"/>
    <w:rsid w:val="009771E0"/>
    <w:rsid w:val="009C1996"/>
    <w:rsid w:val="009C1F26"/>
    <w:rsid w:val="009D0A8E"/>
    <w:rsid w:val="009D351E"/>
    <w:rsid w:val="009D635C"/>
    <w:rsid w:val="009F08BC"/>
    <w:rsid w:val="009F2770"/>
    <w:rsid w:val="00A14B36"/>
    <w:rsid w:val="00A20C11"/>
    <w:rsid w:val="00A26199"/>
    <w:rsid w:val="00A264EC"/>
    <w:rsid w:val="00A27ACB"/>
    <w:rsid w:val="00A3113C"/>
    <w:rsid w:val="00A61631"/>
    <w:rsid w:val="00A672DF"/>
    <w:rsid w:val="00A7694F"/>
    <w:rsid w:val="00A77F43"/>
    <w:rsid w:val="00AA6D91"/>
    <w:rsid w:val="00AB0B10"/>
    <w:rsid w:val="00AB6A88"/>
    <w:rsid w:val="00AC258E"/>
    <w:rsid w:val="00AD2039"/>
    <w:rsid w:val="00B047F8"/>
    <w:rsid w:val="00B07428"/>
    <w:rsid w:val="00B20ABF"/>
    <w:rsid w:val="00B447A5"/>
    <w:rsid w:val="00B567D5"/>
    <w:rsid w:val="00B56BB0"/>
    <w:rsid w:val="00B64A58"/>
    <w:rsid w:val="00B67387"/>
    <w:rsid w:val="00B85223"/>
    <w:rsid w:val="00BB4502"/>
    <w:rsid w:val="00BB61E5"/>
    <w:rsid w:val="00BC100B"/>
    <w:rsid w:val="00BC35AA"/>
    <w:rsid w:val="00BD4292"/>
    <w:rsid w:val="00BE1379"/>
    <w:rsid w:val="00BE1DBF"/>
    <w:rsid w:val="00BE3740"/>
    <w:rsid w:val="00BF05F5"/>
    <w:rsid w:val="00C012D0"/>
    <w:rsid w:val="00C12FA8"/>
    <w:rsid w:val="00C2284E"/>
    <w:rsid w:val="00C70FF5"/>
    <w:rsid w:val="00CA1D9E"/>
    <w:rsid w:val="00CC1C17"/>
    <w:rsid w:val="00CC7F48"/>
    <w:rsid w:val="00CD0E55"/>
    <w:rsid w:val="00CD46AF"/>
    <w:rsid w:val="00CD7A10"/>
    <w:rsid w:val="00CF2DD3"/>
    <w:rsid w:val="00CF7EF4"/>
    <w:rsid w:val="00D039E3"/>
    <w:rsid w:val="00D0637C"/>
    <w:rsid w:val="00D12646"/>
    <w:rsid w:val="00D14CB8"/>
    <w:rsid w:val="00D37970"/>
    <w:rsid w:val="00D37CAB"/>
    <w:rsid w:val="00D46DAA"/>
    <w:rsid w:val="00D47E2F"/>
    <w:rsid w:val="00D625E6"/>
    <w:rsid w:val="00D64B5B"/>
    <w:rsid w:val="00D6792A"/>
    <w:rsid w:val="00D707DE"/>
    <w:rsid w:val="00D74AF8"/>
    <w:rsid w:val="00D77163"/>
    <w:rsid w:val="00D870AB"/>
    <w:rsid w:val="00D9013C"/>
    <w:rsid w:val="00D9170E"/>
    <w:rsid w:val="00DA139A"/>
    <w:rsid w:val="00DB49DC"/>
    <w:rsid w:val="00DC1F79"/>
    <w:rsid w:val="00DC3A18"/>
    <w:rsid w:val="00DC674A"/>
    <w:rsid w:val="00DD77D5"/>
    <w:rsid w:val="00DD78C7"/>
    <w:rsid w:val="00DE49E5"/>
    <w:rsid w:val="00DF2895"/>
    <w:rsid w:val="00DF7CDF"/>
    <w:rsid w:val="00E125E3"/>
    <w:rsid w:val="00E136CD"/>
    <w:rsid w:val="00E13FE1"/>
    <w:rsid w:val="00E209F5"/>
    <w:rsid w:val="00E32F68"/>
    <w:rsid w:val="00E475AA"/>
    <w:rsid w:val="00E61177"/>
    <w:rsid w:val="00E617EB"/>
    <w:rsid w:val="00E82473"/>
    <w:rsid w:val="00E8455F"/>
    <w:rsid w:val="00EA6F21"/>
    <w:rsid w:val="00EC08EB"/>
    <w:rsid w:val="00ED169C"/>
    <w:rsid w:val="00EE4DEA"/>
    <w:rsid w:val="00EE5C01"/>
    <w:rsid w:val="00EF7A3F"/>
    <w:rsid w:val="00F003BE"/>
    <w:rsid w:val="00F1141C"/>
    <w:rsid w:val="00F23163"/>
    <w:rsid w:val="00F53503"/>
    <w:rsid w:val="00F633A2"/>
    <w:rsid w:val="00F6684C"/>
    <w:rsid w:val="00F70EEE"/>
    <w:rsid w:val="00F81861"/>
    <w:rsid w:val="00F82E9F"/>
    <w:rsid w:val="00F82EDF"/>
    <w:rsid w:val="00F86536"/>
    <w:rsid w:val="00F86B9F"/>
    <w:rsid w:val="00F95E8E"/>
    <w:rsid w:val="00F979D0"/>
    <w:rsid w:val="00FB6B5B"/>
    <w:rsid w:val="00FC0C3B"/>
    <w:rsid w:val="00FC0DDF"/>
    <w:rsid w:val="00FD08ED"/>
    <w:rsid w:val="00FD397A"/>
    <w:rsid w:val="00FD5445"/>
    <w:rsid w:val="00FE3BD6"/>
    <w:rsid w:val="00FE5193"/>
    <w:rsid w:val="00FE7039"/>
    <w:rsid w:val="00FF73D7"/>
    <w:rsid w:val="013E2686"/>
    <w:rsid w:val="01E74ACC"/>
    <w:rsid w:val="01F1160E"/>
    <w:rsid w:val="02117717"/>
    <w:rsid w:val="023423BD"/>
    <w:rsid w:val="024D52A0"/>
    <w:rsid w:val="02E334E5"/>
    <w:rsid w:val="02E35293"/>
    <w:rsid w:val="034C72DC"/>
    <w:rsid w:val="039C4EEE"/>
    <w:rsid w:val="03C230FA"/>
    <w:rsid w:val="042C1F70"/>
    <w:rsid w:val="048D195A"/>
    <w:rsid w:val="049F5779"/>
    <w:rsid w:val="059A61D1"/>
    <w:rsid w:val="05BF74F0"/>
    <w:rsid w:val="06315367"/>
    <w:rsid w:val="066E1317"/>
    <w:rsid w:val="068A4B86"/>
    <w:rsid w:val="06905732"/>
    <w:rsid w:val="06A42F8B"/>
    <w:rsid w:val="06F67604"/>
    <w:rsid w:val="07100621"/>
    <w:rsid w:val="07405889"/>
    <w:rsid w:val="07A16BE7"/>
    <w:rsid w:val="07E02501"/>
    <w:rsid w:val="082857CB"/>
    <w:rsid w:val="09B15352"/>
    <w:rsid w:val="0A6F2477"/>
    <w:rsid w:val="0B1B4E9F"/>
    <w:rsid w:val="0B2B3C7B"/>
    <w:rsid w:val="0B5F062C"/>
    <w:rsid w:val="0B6B051B"/>
    <w:rsid w:val="0C1741FF"/>
    <w:rsid w:val="0C187ED3"/>
    <w:rsid w:val="0CC57A72"/>
    <w:rsid w:val="0D2767AF"/>
    <w:rsid w:val="0D302CD1"/>
    <w:rsid w:val="0D5D20E6"/>
    <w:rsid w:val="0D7B0357"/>
    <w:rsid w:val="0E734313"/>
    <w:rsid w:val="0E7837EC"/>
    <w:rsid w:val="0EAA4C28"/>
    <w:rsid w:val="0EE5365C"/>
    <w:rsid w:val="0FC41FA8"/>
    <w:rsid w:val="0FC93A62"/>
    <w:rsid w:val="1014226A"/>
    <w:rsid w:val="11B23D19"/>
    <w:rsid w:val="120B6C7D"/>
    <w:rsid w:val="12A22F6F"/>
    <w:rsid w:val="13F07810"/>
    <w:rsid w:val="140432BB"/>
    <w:rsid w:val="157C0B81"/>
    <w:rsid w:val="157C206B"/>
    <w:rsid w:val="15893D4A"/>
    <w:rsid w:val="16707A5D"/>
    <w:rsid w:val="17254BB9"/>
    <w:rsid w:val="17320CE6"/>
    <w:rsid w:val="175A3CEF"/>
    <w:rsid w:val="179C125C"/>
    <w:rsid w:val="18205602"/>
    <w:rsid w:val="18DB4F61"/>
    <w:rsid w:val="18DB57F1"/>
    <w:rsid w:val="19A35324"/>
    <w:rsid w:val="19A74E14"/>
    <w:rsid w:val="1A330CEA"/>
    <w:rsid w:val="1A4E204D"/>
    <w:rsid w:val="1AE01F30"/>
    <w:rsid w:val="1AF03B8E"/>
    <w:rsid w:val="1B5D2999"/>
    <w:rsid w:val="1C0C5403"/>
    <w:rsid w:val="1C2C7672"/>
    <w:rsid w:val="1C7F46E5"/>
    <w:rsid w:val="1CBD66FD"/>
    <w:rsid w:val="1D0600A4"/>
    <w:rsid w:val="1E604922"/>
    <w:rsid w:val="1ED44095"/>
    <w:rsid w:val="1F2B3DF2"/>
    <w:rsid w:val="1FD5108F"/>
    <w:rsid w:val="1FE91F06"/>
    <w:rsid w:val="20255396"/>
    <w:rsid w:val="20290058"/>
    <w:rsid w:val="204C078D"/>
    <w:rsid w:val="213E6833"/>
    <w:rsid w:val="21CA5AAE"/>
    <w:rsid w:val="22CF5516"/>
    <w:rsid w:val="23013FE5"/>
    <w:rsid w:val="23170678"/>
    <w:rsid w:val="238C280F"/>
    <w:rsid w:val="238F4A20"/>
    <w:rsid w:val="23933405"/>
    <w:rsid w:val="244C29A4"/>
    <w:rsid w:val="24D146B3"/>
    <w:rsid w:val="25157CD1"/>
    <w:rsid w:val="25610217"/>
    <w:rsid w:val="25B032A3"/>
    <w:rsid w:val="25D54A51"/>
    <w:rsid w:val="25EF7007"/>
    <w:rsid w:val="26035248"/>
    <w:rsid w:val="260357AC"/>
    <w:rsid w:val="26283013"/>
    <w:rsid w:val="266B71CA"/>
    <w:rsid w:val="2690349D"/>
    <w:rsid w:val="26C07516"/>
    <w:rsid w:val="26C32062"/>
    <w:rsid w:val="27D15438"/>
    <w:rsid w:val="29323FCF"/>
    <w:rsid w:val="296A3B2A"/>
    <w:rsid w:val="29996B12"/>
    <w:rsid w:val="2A2869B0"/>
    <w:rsid w:val="2A760B75"/>
    <w:rsid w:val="2A9A072E"/>
    <w:rsid w:val="2AB253C7"/>
    <w:rsid w:val="2BD44A40"/>
    <w:rsid w:val="2BF87A83"/>
    <w:rsid w:val="2C867F83"/>
    <w:rsid w:val="2CA646B2"/>
    <w:rsid w:val="2D5E4925"/>
    <w:rsid w:val="2DDA4D81"/>
    <w:rsid w:val="2E334E31"/>
    <w:rsid w:val="2E6F6F7A"/>
    <w:rsid w:val="2F8C268B"/>
    <w:rsid w:val="2F8D1139"/>
    <w:rsid w:val="2FB8208C"/>
    <w:rsid w:val="2FBB1CA6"/>
    <w:rsid w:val="2FC260AC"/>
    <w:rsid w:val="2FD8767E"/>
    <w:rsid w:val="2FE5304B"/>
    <w:rsid w:val="301D6429"/>
    <w:rsid w:val="30B9743E"/>
    <w:rsid w:val="30DC07E7"/>
    <w:rsid w:val="31864C00"/>
    <w:rsid w:val="325D030E"/>
    <w:rsid w:val="32A93B8C"/>
    <w:rsid w:val="33A855B9"/>
    <w:rsid w:val="33AF764C"/>
    <w:rsid w:val="33C044CD"/>
    <w:rsid w:val="343315A3"/>
    <w:rsid w:val="34360E17"/>
    <w:rsid w:val="3445105A"/>
    <w:rsid w:val="34A51AF9"/>
    <w:rsid w:val="35264CC9"/>
    <w:rsid w:val="35BF7A42"/>
    <w:rsid w:val="35F37B32"/>
    <w:rsid w:val="362C6B53"/>
    <w:rsid w:val="364221DA"/>
    <w:rsid w:val="36837BB4"/>
    <w:rsid w:val="36D6068F"/>
    <w:rsid w:val="37144A22"/>
    <w:rsid w:val="371D201C"/>
    <w:rsid w:val="372B20C3"/>
    <w:rsid w:val="375811C4"/>
    <w:rsid w:val="37B81AC6"/>
    <w:rsid w:val="38403A6C"/>
    <w:rsid w:val="386A108F"/>
    <w:rsid w:val="390441E2"/>
    <w:rsid w:val="39DD136A"/>
    <w:rsid w:val="3A683CF4"/>
    <w:rsid w:val="3A971C80"/>
    <w:rsid w:val="3BBB5D58"/>
    <w:rsid w:val="3C3661B6"/>
    <w:rsid w:val="3C5756AD"/>
    <w:rsid w:val="3DC07241"/>
    <w:rsid w:val="3E03671E"/>
    <w:rsid w:val="3E1A1E04"/>
    <w:rsid w:val="3E331A7E"/>
    <w:rsid w:val="3F35283B"/>
    <w:rsid w:val="3F4652AF"/>
    <w:rsid w:val="3F8509F1"/>
    <w:rsid w:val="3FA77604"/>
    <w:rsid w:val="3FC03947"/>
    <w:rsid w:val="3FC4799E"/>
    <w:rsid w:val="4023709F"/>
    <w:rsid w:val="41002440"/>
    <w:rsid w:val="410F0794"/>
    <w:rsid w:val="414D59F2"/>
    <w:rsid w:val="41853485"/>
    <w:rsid w:val="41997900"/>
    <w:rsid w:val="41EC73B9"/>
    <w:rsid w:val="42096B26"/>
    <w:rsid w:val="42C76B3B"/>
    <w:rsid w:val="42CC2AB3"/>
    <w:rsid w:val="42E63A08"/>
    <w:rsid w:val="42F11657"/>
    <w:rsid w:val="43172085"/>
    <w:rsid w:val="43291B47"/>
    <w:rsid w:val="44330E30"/>
    <w:rsid w:val="44A04ACE"/>
    <w:rsid w:val="44CD30EF"/>
    <w:rsid w:val="44FC2E28"/>
    <w:rsid w:val="4565155C"/>
    <w:rsid w:val="459938AE"/>
    <w:rsid w:val="45FB3C6E"/>
    <w:rsid w:val="464B1C3F"/>
    <w:rsid w:val="469E41AF"/>
    <w:rsid w:val="46FF5367"/>
    <w:rsid w:val="47BA4746"/>
    <w:rsid w:val="481050FC"/>
    <w:rsid w:val="48952158"/>
    <w:rsid w:val="48AB2374"/>
    <w:rsid w:val="48B0193B"/>
    <w:rsid w:val="49706721"/>
    <w:rsid w:val="49F53A71"/>
    <w:rsid w:val="49FC1D63"/>
    <w:rsid w:val="4A113A61"/>
    <w:rsid w:val="4A7F344D"/>
    <w:rsid w:val="4A82670C"/>
    <w:rsid w:val="4BE3142D"/>
    <w:rsid w:val="4BEC5F24"/>
    <w:rsid w:val="4C2613CF"/>
    <w:rsid w:val="4C454224"/>
    <w:rsid w:val="4C5F6316"/>
    <w:rsid w:val="4C8A66B9"/>
    <w:rsid w:val="4CB46925"/>
    <w:rsid w:val="4CE41429"/>
    <w:rsid w:val="4D445EFB"/>
    <w:rsid w:val="4D8D542A"/>
    <w:rsid w:val="4F933128"/>
    <w:rsid w:val="4FBD0F03"/>
    <w:rsid w:val="4FC778B7"/>
    <w:rsid w:val="4FDA4B27"/>
    <w:rsid w:val="50D41344"/>
    <w:rsid w:val="51114346"/>
    <w:rsid w:val="5147420C"/>
    <w:rsid w:val="51E101BC"/>
    <w:rsid w:val="51F160FB"/>
    <w:rsid w:val="52994DD7"/>
    <w:rsid w:val="52B42038"/>
    <w:rsid w:val="533B4C96"/>
    <w:rsid w:val="53E478AF"/>
    <w:rsid w:val="53EC1861"/>
    <w:rsid w:val="544E6DA6"/>
    <w:rsid w:val="546D719C"/>
    <w:rsid w:val="54A6298A"/>
    <w:rsid w:val="54F04EDD"/>
    <w:rsid w:val="54FB2A31"/>
    <w:rsid w:val="550979AB"/>
    <w:rsid w:val="552C5BF2"/>
    <w:rsid w:val="55390C8C"/>
    <w:rsid w:val="56815ACA"/>
    <w:rsid w:val="56887A5A"/>
    <w:rsid w:val="56E7443E"/>
    <w:rsid w:val="572F0470"/>
    <w:rsid w:val="57D524B2"/>
    <w:rsid w:val="584C0B2F"/>
    <w:rsid w:val="585D52A7"/>
    <w:rsid w:val="58604AB4"/>
    <w:rsid w:val="58FD4A43"/>
    <w:rsid w:val="594B1EBB"/>
    <w:rsid w:val="59B8601A"/>
    <w:rsid w:val="59E051FD"/>
    <w:rsid w:val="5A3E4A0B"/>
    <w:rsid w:val="5AF967B6"/>
    <w:rsid w:val="5B365550"/>
    <w:rsid w:val="5B803935"/>
    <w:rsid w:val="5B966B22"/>
    <w:rsid w:val="5C1B076F"/>
    <w:rsid w:val="5C3B0D31"/>
    <w:rsid w:val="5CCC562C"/>
    <w:rsid w:val="5E7B7023"/>
    <w:rsid w:val="5FA17204"/>
    <w:rsid w:val="60275934"/>
    <w:rsid w:val="60A52412"/>
    <w:rsid w:val="60B556B2"/>
    <w:rsid w:val="611A2DA3"/>
    <w:rsid w:val="615B61FA"/>
    <w:rsid w:val="617F4634"/>
    <w:rsid w:val="61A62889"/>
    <w:rsid w:val="61AF5FAD"/>
    <w:rsid w:val="62285994"/>
    <w:rsid w:val="628E28E5"/>
    <w:rsid w:val="63625422"/>
    <w:rsid w:val="641A6EC9"/>
    <w:rsid w:val="64622E98"/>
    <w:rsid w:val="65095BA8"/>
    <w:rsid w:val="65534AD5"/>
    <w:rsid w:val="65A11DDD"/>
    <w:rsid w:val="66DD63E5"/>
    <w:rsid w:val="67FD341E"/>
    <w:rsid w:val="68440713"/>
    <w:rsid w:val="685A62EF"/>
    <w:rsid w:val="688C2F03"/>
    <w:rsid w:val="68C710F7"/>
    <w:rsid w:val="6957696C"/>
    <w:rsid w:val="69E33CC9"/>
    <w:rsid w:val="6A75291A"/>
    <w:rsid w:val="6B4725E4"/>
    <w:rsid w:val="6B820737"/>
    <w:rsid w:val="6B8579B3"/>
    <w:rsid w:val="6CAD5413"/>
    <w:rsid w:val="6DE56617"/>
    <w:rsid w:val="6E930639"/>
    <w:rsid w:val="6E9D1B01"/>
    <w:rsid w:val="6F0D345B"/>
    <w:rsid w:val="6F73776C"/>
    <w:rsid w:val="6F77775D"/>
    <w:rsid w:val="6FCA008A"/>
    <w:rsid w:val="6FEF037E"/>
    <w:rsid w:val="70320248"/>
    <w:rsid w:val="70567B70"/>
    <w:rsid w:val="706D27D9"/>
    <w:rsid w:val="70FF7B56"/>
    <w:rsid w:val="711B4912"/>
    <w:rsid w:val="719049BE"/>
    <w:rsid w:val="723D10C9"/>
    <w:rsid w:val="728429A1"/>
    <w:rsid w:val="72D55498"/>
    <w:rsid w:val="73054F88"/>
    <w:rsid w:val="731D3FF5"/>
    <w:rsid w:val="73FA269B"/>
    <w:rsid w:val="74580696"/>
    <w:rsid w:val="74A40E40"/>
    <w:rsid w:val="74EE237D"/>
    <w:rsid w:val="75481A38"/>
    <w:rsid w:val="75C80561"/>
    <w:rsid w:val="75E46A7C"/>
    <w:rsid w:val="766F7FCD"/>
    <w:rsid w:val="767E7C0E"/>
    <w:rsid w:val="7755292F"/>
    <w:rsid w:val="77ED390F"/>
    <w:rsid w:val="792037DF"/>
    <w:rsid w:val="79FA7D65"/>
    <w:rsid w:val="7A0A223C"/>
    <w:rsid w:val="7A7D4063"/>
    <w:rsid w:val="7AB41B52"/>
    <w:rsid w:val="7AD46261"/>
    <w:rsid w:val="7AD70F6E"/>
    <w:rsid w:val="7B655433"/>
    <w:rsid w:val="7B717742"/>
    <w:rsid w:val="7BED75DA"/>
    <w:rsid w:val="7BF97143"/>
    <w:rsid w:val="7C105077"/>
    <w:rsid w:val="7C167FAF"/>
    <w:rsid w:val="7C582AD5"/>
    <w:rsid w:val="7C5D1891"/>
    <w:rsid w:val="7CAC20C0"/>
    <w:rsid w:val="7CF8036A"/>
    <w:rsid w:val="7CF91FAF"/>
    <w:rsid w:val="7D3B518B"/>
    <w:rsid w:val="7D6B651B"/>
    <w:rsid w:val="7D6E16C8"/>
    <w:rsid w:val="7D9F7D20"/>
    <w:rsid w:val="7E2E3EDA"/>
    <w:rsid w:val="7E3314F0"/>
    <w:rsid w:val="7E9417C7"/>
    <w:rsid w:val="7EFA2AD9"/>
    <w:rsid w:val="7F6F0306"/>
    <w:rsid w:val="7F950C52"/>
    <w:rsid w:val="7FBD19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0"/>
    <w:qFormat/>
    <w:uiPriority w:val="0"/>
    <w:pPr>
      <w:jc w:val="left"/>
    </w:pPr>
  </w:style>
  <w:style w:type="paragraph" w:styleId="3">
    <w:name w:val="Balloon Text"/>
    <w:basedOn w:val="1"/>
    <w:link w:val="18"/>
    <w:qFormat/>
    <w:uiPriority w:val="0"/>
    <w:rPr>
      <w:sz w:val="18"/>
      <w:szCs w:val="18"/>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link w:val="16"/>
    <w:qFormat/>
    <w:uiPriority w:val="0"/>
    <w:pPr>
      <w:tabs>
        <w:tab w:val="center" w:pos="4153"/>
        <w:tab w:val="right" w:pos="8306"/>
      </w:tabs>
      <w:snapToGrid w:val="0"/>
      <w:jc w:val="center"/>
    </w:pPr>
    <w:rPr>
      <w:sz w:val="18"/>
      <w:szCs w:val="18"/>
    </w:rPr>
  </w:style>
  <w:style w:type="paragraph" w:styleId="6">
    <w:name w:val="Normal (Web)"/>
    <w:basedOn w:val="1"/>
    <w:qFormat/>
    <w:uiPriority w:val="0"/>
    <w:pPr>
      <w:widowControl/>
      <w:jc w:val="left"/>
    </w:pPr>
    <w:rPr>
      <w:rFonts w:ascii="宋体" w:hAnsi="宋体" w:cs="宋体"/>
      <w:kern w:val="0"/>
      <w:sz w:val="24"/>
      <w:szCs w:val="24"/>
    </w:rPr>
  </w:style>
  <w:style w:type="paragraph" w:styleId="7">
    <w:name w:val="annotation subject"/>
    <w:basedOn w:val="2"/>
    <w:next w:val="2"/>
    <w:link w:val="21"/>
    <w:qFormat/>
    <w:uiPriority w:val="0"/>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qFormat/>
    <w:uiPriority w:val="0"/>
    <w:rPr>
      <w:color w:val="0563C1" w:themeColor="hyperlink"/>
      <w:u w:val="single"/>
      <w14:textFill>
        <w14:solidFill>
          <w14:schemeClr w14:val="hlink"/>
        </w14:solidFill>
      </w14:textFill>
    </w:rPr>
  </w:style>
  <w:style w:type="character" w:styleId="12">
    <w:name w:val="annotation reference"/>
    <w:basedOn w:val="10"/>
    <w:qFormat/>
    <w:uiPriority w:val="0"/>
    <w:rPr>
      <w:sz w:val="21"/>
      <w:szCs w:val="21"/>
    </w:rPr>
  </w:style>
  <w:style w:type="paragraph" w:customStyle="1" w:styleId="13">
    <w:name w:val="样式1"/>
    <w:basedOn w:val="14"/>
    <w:qFormat/>
    <w:uiPriority w:val="0"/>
    <w:pPr>
      <w:spacing w:line="579" w:lineRule="exact"/>
      <w:ind w:firstLine="640" w:firstLineChars="200"/>
    </w:pPr>
    <w:rPr>
      <w:rFonts w:ascii="Calibri" w:cs="Times New Roman"/>
    </w:rPr>
  </w:style>
  <w:style w:type="paragraph" w:customStyle="1" w:styleId="14">
    <w:name w:val="正文1"/>
    <w:basedOn w:val="1"/>
    <w:qFormat/>
    <w:uiPriority w:val="0"/>
    <w:pPr>
      <w:ind w:firstLine="708" w:firstLineChars="236"/>
    </w:pPr>
    <w:rPr>
      <w:rFonts w:ascii="仿宋_GB2312" w:eastAsia="仿宋_GB2312" w:cs="仿宋_GB2312"/>
      <w:sz w:val="30"/>
      <w:szCs w:val="30"/>
    </w:rPr>
  </w:style>
  <w:style w:type="paragraph" w:customStyle="1" w:styleId="15">
    <w:name w:val="List Paragraph1"/>
    <w:basedOn w:val="1"/>
    <w:qFormat/>
    <w:uiPriority w:val="99"/>
    <w:pPr>
      <w:ind w:firstLine="420" w:firstLineChars="200"/>
    </w:pPr>
  </w:style>
  <w:style w:type="character" w:customStyle="1" w:styleId="16">
    <w:name w:val="页眉 字符"/>
    <w:basedOn w:val="10"/>
    <w:link w:val="5"/>
    <w:qFormat/>
    <w:uiPriority w:val="0"/>
    <w:rPr>
      <w:rFonts w:ascii="Calibri" w:hAnsi="Calibri" w:cs="Calibri"/>
      <w:kern w:val="2"/>
      <w:sz w:val="18"/>
      <w:szCs w:val="18"/>
    </w:rPr>
  </w:style>
  <w:style w:type="paragraph" w:customStyle="1" w:styleId="17">
    <w:name w:val="修订1"/>
    <w:hidden/>
    <w:unhideWhenUsed/>
    <w:qFormat/>
    <w:uiPriority w:val="99"/>
    <w:rPr>
      <w:rFonts w:ascii="Calibri" w:hAnsi="Calibri" w:eastAsia="宋体" w:cs="Calibri"/>
      <w:kern w:val="2"/>
      <w:sz w:val="21"/>
      <w:szCs w:val="21"/>
      <w:lang w:val="en-US" w:eastAsia="zh-CN" w:bidi="ar-SA"/>
    </w:rPr>
  </w:style>
  <w:style w:type="character" w:customStyle="1" w:styleId="18">
    <w:name w:val="批注框文本 字符"/>
    <w:basedOn w:val="10"/>
    <w:link w:val="3"/>
    <w:qFormat/>
    <w:uiPriority w:val="0"/>
    <w:rPr>
      <w:rFonts w:ascii="Calibri" w:hAnsi="Calibri" w:eastAsia="宋体" w:cs="Calibri"/>
      <w:kern w:val="2"/>
      <w:sz w:val="18"/>
      <w:szCs w:val="18"/>
    </w:rPr>
  </w:style>
  <w:style w:type="paragraph" w:customStyle="1" w:styleId="19">
    <w:name w:val="Revision"/>
    <w:hidden/>
    <w:semiHidden/>
    <w:uiPriority w:val="99"/>
    <w:rPr>
      <w:rFonts w:ascii="Calibri" w:hAnsi="Calibri" w:eastAsia="宋体" w:cs="Calibri"/>
      <w:kern w:val="2"/>
      <w:sz w:val="21"/>
      <w:szCs w:val="21"/>
      <w:lang w:val="en-US" w:eastAsia="zh-CN" w:bidi="ar-SA"/>
    </w:rPr>
  </w:style>
  <w:style w:type="character" w:customStyle="1" w:styleId="20">
    <w:name w:val="批注文字 字符"/>
    <w:basedOn w:val="10"/>
    <w:link w:val="2"/>
    <w:qFormat/>
    <w:uiPriority w:val="0"/>
    <w:rPr>
      <w:rFonts w:ascii="Calibri" w:hAnsi="Calibri" w:eastAsia="宋体" w:cs="Calibri"/>
      <w:kern w:val="2"/>
      <w:sz w:val="21"/>
      <w:szCs w:val="21"/>
    </w:rPr>
  </w:style>
  <w:style w:type="character" w:customStyle="1" w:styleId="21">
    <w:name w:val="批注主题 字符"/>
    <w:basedOn w:val="20"/>
    <w:link w:val="7"/>
    <w:qFormat/>
    <w:uiPriority w:val="0"/>
    <w:rPr>
      <w:rFonts w:ascii="Calibri" w:hAnsi="Calibri" w:eastAsia="宋体" w:cs="Calibri"/>
      <w:b/>
      <w:bCs/>
      <w:kern w:val="2"/>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E3B844-7BDE-4512-8E34-CECDF58CEE26}">
  <ds:schemaRefs/>
</ds:datastoreItem>
</file>

<file path=docProps/app.xml><?xml version="1.0" encoding="utf-8"?>
<Properties xmlns="http://schemas.openxmlformats.org/officeDocument/2006/extended-properties" xmlns:vt="http://schemas.openxmlformats.org/officeDocument/2006/docPropsVTypes">
  <Template>Normal</Template>
  <Pages>6</Pages>
  <Words>1411</Words>
  <Characters>1567</Characters>
  <Lines>82</Lines>
  <Paragraphs>62</Paragraphs>
  <TotalTime>663</TotalTime>
  <ScaleCrop>false</ScaleCrop>
  <LinksUpToDate>false</LinksUpToDate>
  <CharactersWithSpaces>2916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2024-04-11T07:58:00Z</dcterms:created>
  <dc:creator>小样</dc:creator>
  <cp:lastModifiedBy>李嘉敏</cp:lastModifiedBy>
  <cp:lastPrinted>2025-08-20T07:23:06Z</cp:lastPrinted>
  <dcterms:modified xsi:type="dcterms:W3CDTF">2025-08-20T07:41:26Z</dcterms:modified>
  <cp:revision>243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9A363CC2FA674F8DB3EBDC313EE5E6C5</vt:lpwstr>
  </property>
  <property fmtid="{D5CDD505-2E9C-101B-9397-08002B2CF9AE}" pid="4" name="KSOTemplateDocerSaveRecord">
    <vt:lpwstr>eyJoZGlkIjoiMTgyNDk2OTEyOGVhNmQ2YWJkN2I0ODc3NjczN2NlMmIiLCJ1c2VySWQiOiI2OTA3ODE1OTMifQ==</vt:lpwstr>
  </property>
</Properties>
</file>