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9" w:lineRule="exact"/>
        <w:jc w:val="center"/>
        <w:rPr>
          <w:rFonts w:ascii="方正小标宋简体" w:hAnsi="仿宋" w:eastAsia="方正小标宋简体"/>
          <w:color w:val="auto"/>
          <w:sz w:val="44"/>
          <w:szCs w:val="44"/>
          <w:highlight w:val="none"/>
        </w:rPr>
      </w:pPr>
      <w:r>
        <w:rPr>
          <w:rFonts w:hint="eastAsia" w:ascii="方正小标宋简体" w:hAnsi="仿宋" w:eastAsia="方正小标宋简体" w:cs="Times New Roman"/>
          <w:color w:val="auto"/>
          <w:sz w:val="44"/>
          <w:szCs w:val="44"/>
          <w:highlight w:val="none"/>
          <w:lang w:val="en-US" w:eastAsia="zh-CN"/>
        </w:rPr>
        <w:t>《横琴粤澳深度合作区城市规划和建设局建设工务署2025年度建设政府投资项目工程资料咨询服务采购项目》</w:t>
      </w:r>
      <w:r>
        <w:rPr>
          <w:rFonts w:hint="eastAsia" w:ascii="方正小标宋简体" w:hAnsi="仿宋" w:eastAsia="方正小标宋简体" w:cs="Times New Roman"/>
          <w:color w:val="auto"/>
          <w:sz w:val="44"/>
          <w:szCs w:val="44"/>
          <w:highlight w:val="none"/>
        </w:rPr>
        <w:t>评分标准</w:t>
      </w:r>
    </w:p>
    <w:p>
      <w:pPr>
        <w:rPr>
          <w:color w:val="auto"/>
          <w:highlight w:val="none"/>
        </w:rPr>
      </w:pPr>
    </w:p>
    <w:p>
      <w:pPr>
        <w:spacing w:line="6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本项目采用综合评分法进行评审，具体评分细则详见综合评分表。评价指标及权重：</w:t>
      </w:r>
    </w:p>
    <w:tbl>
      <w:tblPr>
        <w:tblStyle w:val="11"/>
        <w:tblpPr w:leftFromText="180" w:rightFromText="180" w:vertAnchor="text" w:horzAnchor="page" w:tblpX="3370" w:tblpY="195"/>
        <w:tblOverlap w:val="never"/>
        <w:tblW w:w="5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61"/>
        <w:gridCol w:w="2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3761" w:type="dxa"/>
            <w:vAlign w:val="center"/>
          </w:tcPr>
          <w:p>
            <w:pPr>
              <w:spacing w:line="400" w:lineRule="exact"/>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评价指标</w:t>
            </w:r>
          </w:p>
        </w:tc>
        <w:tc>
          <w:tcPr>
            <w:tcW w:w="2078" w:type="dxa"/>
            <w:vAlign w:val="center"/>
          </w:tcPr>
          <w:p>
            <w:pPr>
              <w:spacing w:line="400" w:lineRule="exact"/>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指标权重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3761" w:type="dxa"/>
            <w:vAlign w:val="center"/>
          </w:tcPr>
          <w:p>
            <w:pPr>
              <w:spacing w:line="40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技术部分</w:t>
            </w:r>
          </w:p>
        </w:tc>
        <w:tc>
          <w:tcPr>
            <w:tcW w:w="2078" w:type="dxa"/>
            <w:vAlign w:val="center"/>
          </w:tcPr>
          <w:p>
            <w:pPr>
              <w:spacing w:line="40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3761" w:type="dxa"/>
            <w:vAlign w:val="center"/>
          </w:tcPr>
          <w:p>
            <w:pPr>
              <w:spacing w:line="40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商务部分</w:t>
            </w:r>
          </w:p>
        </w:tc>
        <w:tc>
          <w:tcPr>
            <w:tcW w:w="2078" w:type="dxa"/>
            <w:vAlign w:val="center"/>
          </w:tcPr>
          <w:p>
            <w:pPr>
              <w:spacing w:line="40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trPr>
        <w:tc>
          <w:tcPr>
            <w:tcW w:w="3761" w:type="dxa"/>
            <w:vAlign w:val="center"/>
          </w:tcPr>
          <w:p>
            <w:pPr>
              <w:spacing w:line="40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经济价格</w:t>
            </w:r>
          </w:p>
        </w:tc>
        <w:tc>
          <w:tcPr>
            <w:tcW w:w="2078" w:type="dxa"/>
            <w:vAlign w:val="center"/>
          </w:tcPr>
          <w:p>
            <w:pPr>
              <w:spacing w:line="40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trPr>
        <w:tc>
          <w:tcPr>
            <w:tcW w:w="3761" w:type="dxa"/>
            <w:vAlign w:val="center"/>
          </w:tcPr>
          <w:p>
            <w:pPr>
              <w:spacing w:line="40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合计</w:t>
            </w:r>
          </w:p>
        </w:tc>
        <w:tc>
          <w:tcPr>
            <w:tcW w:w="2078" w:type="dxa"/>
            <w:vAlign w:val="center"/>
          </w:tcPr>
          <w:p>
            <w:pPr>
              <w:spacing w:line="400" w:lineRule="exact"/>
              <w:jc w:val="center"/>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100</w:t>
            </w:r>
          </w:p>
        </w:tc>
      </w:tr>
    </w:tbl>
    <w:p>
      <w:pPr>
        <w:spacing w:line="600" w:lineRule="exact"/>
        <w:rPr>
          <w:rFonts w:ascii="仿宋_GB2312" w:hAnsi="仿宋_GB2312" w:eastAsia="仿宋_GB2312" w:cs="仿宋_GB2312"/>
          <w:b/>
          <w:bCs/>
          <w:color w:val="auto"/>
          <w:sz w:val="32"/>
          <w:szCs w:val="32"/>
          <w:highlight w:val="none"/>
        </w:rPr>
      </w:pPr>
    </w:p>
    <w:p>
      <w:pPr>
        <w:spacing w:line="600" w:lineRule="exact"/>
        <w:rPr>
          <w:rFonts w:ascii="仿宋_GB2312" w:hAnsi="仿宋_GB2312" w:eastAsia="仿宋_GB2312" w:cs="仿宋_GB2312"/>
          <w:color w:val="auto"/>
          <w:sz w:val="32"/>
          <w:szCs w:val="32"/>
          <w:highlight w:val="none"/>
        </w:rPr>
      </w:pPr>
    </w:p>
    <w:p>
      <w:pPr>
        <w:spacing w:line="600" w:lineRule="exact"/>
        <w:rPr>
          <w:rFonts w:ascii="仿宋_GB2312" w:hAnsi="仿宋_GB2312" w:eastAsia="仿宋_GB2312" w:cs="仿宋_GB2312"/>
          <w:color w:val="auto"/>
          <w:sz w:val="32"/>
          <w:szCs w:val="32"/>
          <w:highlight w:val="none"/>
        </w:rPr>
      </w:pPr>
    </w:p>
    <w:p>
      <w:pPr>
        <w:spacing w:line="600" w:lineRule="exact"/>
        <w:rPr>
          <w:rFonts w:ascii="仿宋_GB2312" w:hAnsi="仿宋_GB2312" w:eastAsia="仿宋_GB2312" w:cs="仿宋_GB2312"/>
          <w:color w:val="auto"/>
          <w:sz w:val="32"/>
          <w:szCs w:val="32"/>
          <w:highlight w:val="none"/>
        </w:rPr>
      </w:pPr>
    </w:p>
    <w:p>
      <w:pPr>
        <w:spacing w:line="6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特别说明：</w:t>
      </w:r>
    </w:p>
    <w:p>
      <w:pPr>
        <w:spacing w:line="6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（一）将所有商务技术评价指标所得实际评价分数相加，即为该投标人的商务技术评价得分，所有评委评出的商务技术评价得分取平均值为该投标人的商务技术标得分。</w:t>
      </w:r>
    </w:p>
    <w:p>
      <w:pPr>
        <w:spacing w:line="6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（二）经济价格标得分=(评标基准价/评标价)×价格指标权重×100。</w:t>
      </w:r>
    </w:p>
    <w:p>
      <w:pPr>
        <w:spacing w:line="6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上述公式中的“评标基准价”是指满足项目需求书要求的最低评标价，其价格得分为满分。评标价为在报价基础上作算术修正后的价格，无算术修正情况下，报价即为评标价。</w:t>
      </w:r>
    </w:p>
    <w:p>
      <w:pPr>
        <w:numPr>
          <w:ilvl w:val="0"/>
          <w:numId w:val="1"/>
        </w:numPr>
        <w:spacing w:line="60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投标最终得分 = 商务标得分 + 技术标得分＋经济价格标得分。</w:t>
      </w:r>
    </w:p>
    <w:p>
      <w:pPr>
        <w:pStyle w:val="5"/>
        <w:ind w:left="1260"/>
        <w:rPr>
          <w:rFonts w:hint="default" w:ascii="仿宋_GB2312" w:hAnsi="仿宋_GB2312" w:eastAsia="仿宋_GB2312" w:cs="仿宋_GB2312"/>
          <w:color w:val="auto"/>
          <w:sz w:val="32"/>
          <w:szCs w:val="32"/>
          <w:highlight w:val="none"/>
        </w:rPr>
      </w:pPr>
    </w:p>
    <w:p>
      <w:pPr>
        <w:rPr>
          <w:color w:val="auto"/>
          <w:highlight w:val="none"/>
        </w:rPr>
      </w:pPr>
    </w:p>
    <w:p>
      <w:pPr>
        <w:rPr>
          <w:color w:val="auto"/>
          <w:highlight w:val="none"/>
        </w:rPr>
      </w:pPr>
    </w:p>
    <w:tbl>
      <w:tblPr>
        <w:tblStyle w:val="11"/>
        <w:tblW w:w="10121" w:type="dxa"/>
        <w:tblInd w:w="-799"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10"/>
        <w:gridCol w:w="1515"/>
        <w:gridCol w:w="6946"/>
        <w:gridCol w:w="85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66" w:hRule="atLeast"/>
        </w:trPr>
        <w:tc>
          <w:tcPr>
            <w:tcW w:w="2325" w:type="dxa"/>
            <w:gridSpan w:val="2"/>
            <w:vAlign w:val="center"/>
          </w:tcPr>
          <w:p>
            <w:pPr>
              <w:widowControl/>
              <w:jc w:val="center"/>
              <w:rPr>
                <w:rFonts w:ascii="宋体" w:cs="宋体"/>
                <w:b/>
                <w:color w:val="auto"/>
                <w:kern w:val="0"/>
                <w:sz w:val="24"/>
                <w:highlight w:val="none"/>
              </w:rPr>
            </w:pPr>
            <w:r>
              <w:rPr>
                <w:rFonts w:hint="eastAsia" w:ascii="宋体" w:hAnsi="宋体" w:cs="宋体"/>
                <w:b/>
                <w:color w:val="auto"/>
                <w:kern w:val="0"/>
                <w:sz w:val="24"/>
                <w:highlight w:val="none"/>
              </w:rPr>
              <w:t>评分项目</w:t>
            </w:r>
          </w:p>
        </w:tc>
        <w:tc>
          <w:tcPr>
            <w:tcW w:w="6946" w:type="dxa"/>
            <w:vAlign w:val="center"/>
          </w:tcPr>
          <w:p>
            <w:pPr>
              <w:widowControl/>
              <w:jc w:val="center"/>
              <w:rPr>
                <w:rFonts w:ascii="宋体" w:cs="宋体"/>
                <w:b/>
                <w:color w:val="auto"/>
                <w:kern w:val="0"/>
                <w:sz w:val="24"/>
                <w:highlight w:val="none"/>
              </w:rPr>
            </w:pPr>
            <w:r>
              <w:rPr>
                <w:rFonts w:hint="eastAsia" w:ascii="宋体" w:hAnsi="宋体" w:cs="宋体"/>
                <w:b/>
                <w:color w:val="auto"/>
                <w:kern w:val="0"/>
                <w:sz w:val="24"/>
                <w:highlight w:val="none"/>
              </w:rPr>
              <w:t>评分标准</w:t>
            </w:r>
          </w:p>
        </w:tc>
        <w:tc>
          <w:tcPr>
            <w:tcW w:w="850" w:type="dxa"/>
            <w:vAlign w:val="center"/>
          </w:tcPr>
          <w:p>
            <w:pPr>
              <w:widowControl/>
              <w:jc w:val="center"/>
              <w:rPr>
                <w:rFonts w:ascii="宋体" w:cs="宋体"/>
                <w:b/>
                <w:color w:val="auto"/>
                <w:kern w:val="0"/>
                <w:sz w:val="24"/>
                <w:highlight w:val="none"/>
              </w:rPr>
            </w:pPr>
            <w:r>
              <w:rPr>
                <w:rFonts w:hint="eastAsia" w:ascii="宋体" w:hAnsi="宋体" w:cs="宋体"/>
                <w:b/>
                <w:color w:val="auto"/>
                <w:kern w:val="0"/>
                <w:sz w:val="24"/>
                <w:highlight w:val="none"/>
              </w:rPr>
              <w:t>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10" w:hRule="atLeast"/>
        </w:trPr>
        <w:tc>
          <w:tcPr>
            <w:tcW w:w="810" w:type="dxa"/>
            <w:vMerge w:val="restart"/>
            <w:vAlign w:val="center"/>
          </w:tcPr>
          <w:p>
            <w:pPr>
              <w:widowControl/>
              <w:jc w:val="center"/>
              <w:rPr>
                <w:rFonts w:ascii="宋体" w:cs="宋体"/>
                <w:color w:val="auto"/>
                <w:kern w:val="0"/>
                <w:sz w:val="24"/>
                <w:highlight w:val="none"/>
              </w:rPr>
            </w:pPr>
          </w:p>
          <w:p>
            <w:pPr>
              <w:widowControl/>
              <w:jc w:val="center"/>
              <w:rPr>
                <w:rFonts w:ascii="宋体" w:cs="宋体"/>
                <w:color w:val="auto"/>
                <w:kern w:val="0"/>
                <w:sz w:val="24"/>
                <w:highlight w:val="none"/>
              </w:rPr>
            </w:pPr>
            <w:r>
              <w:rPr>
                <w:rFonts w:hint="eastAsia" w:ascii="宋体" w:cs="宋体"/>
                <w:color w:val="auto"/>
                <w:kern w:val="0"/>
                <w:sz w:val="24"/>
                <w:highlight w:val="none"/>
              </w:rPr>
              <w:t>技术</w:t>
            </w:r>
          </w:p>
          <w:p>
            <w:pPr>
              <w:widowControl/>
              <w:jc w:val="center"/>
              <w:rPr>
                <w:rFonts w:ascii="宋体" w:cs="宋体"/>
                <w:color w:val="auto"/>
                <w:kern w:val="0"/>
                <w:sz w:val="24"/>
                <w:highlight w:val="none"/>
              </w:rPr>
            </w:pPr>
            <w:r>
              <w:rPr>
                <w:rFonts w:hint="eastAsia" w:ascii="宋体" w:cs="宋体"/>
                <w:color w:val="auto"/>
                <w:kern w:val="0"/>
                <w:sz w:val="24"/>
                <w:highlight w:val="none"/>
              </w:rPr>
              <w:t>部分</w:t>
            </w:r>
          </w:p>
          <w:p>
            <w:pPr>
              <w:widowControl/>
              <w:jc w:val="center"/>
              <w:rPr>
                <w:rFonts w:ascii="宋体" w:cs="宋体"/>
                <w:color w:val="auto"/>
                <w:kern w:val="0"/>
                <w:sz w:val="24"/>
                <w:highlight w:val="none"/>
              </w:rPr>
            </w:pPr>
            <w:r>
              <w:rPr>
                <w:rFonts w:hint="eastAsia" w:ascii="宋体" w:cs="宋体"/>
                <w:color w:val="auto"/>
                <w:kern w:val="0"/>
                <w:sz w:val="24"/>
                <w:highlight w:val="none"/>
              </w:rPr>
              <w:t>50分</w:t>
            </w:r>
          </w:p>
        </w:tc>
        <w:tc>
          <w:tcPr>
            <w:tcW w:w="1515" w:type="dxa"/>
            <w:vAlign w:val="center"/>
          </w:tcPr>
          <w:p>
            <w:pPr>
              <w:widowControl/>
              <w:jc w:val="center"/>
              <w:rPr>
                <w:rFonts w:hAnsi="宋体" w:cs="宋体"/>
                <w:b/>
                <w:bCs/>
                <w:color w:val="auto"/>
                <w:sz w:val="24"/>
                <w:highlight w:val="none"/>
              </w:rPr>
            </w:pPr>
            <w:r>
              <w:rPr>
                <w:rFonts w:hint="eastAsia" w:hAnsi="宋体" w:cs="宋体"/>
                <w:b/>
                <w:bCs/>
                <w:color w:val="auto"/>
                <w:sz w:val="24"/>
                <w:highlight w:val="none"/>
              </w:rPr>
              <w:t>实施方案</w:t>
            </w:r>
          </w:p>
          <w:p>
            <w:pPr>
              <w:widowControl/>
              <w:jc w:val="center"/>
              <w:rPr>
                <w:rFonts w:hAnsi="宋体" w:cs="宋体"/>
                <w:b/>
                <w:bCs/>
                <w:color w:val="auto"/>
                <w:sz w:val="24"/>
                <w:highlight w:val="none"/>
              </w:rPr>
            </w:pPr>
          </w:p>
        </w:tc>
        <w:tc>
          <w:tcPr>
            <w:tcW w:w="6946" w:type="dxa"/>
            <w:vAlign w:val="center"/>
          </w:tcPr>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根据投标人针对本项目提供的项目组织管理、工作计划、实施措施、进度保障措施、现场管理方案等进行评价：</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（1）方案非常详细、完善、合理，可行性非常强，能完全满足或优于项目要求的，得16分；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（2）方案较详细、完善、合理，可行性较强，</w:t>
            </w:r>
            <w:r>
              <w:rPr>
                <w:rFonts w:hint="eastAsia" w:hAnsi="宋体" w:cs="宋体"/>
                <w:bCs/>
                <w:color w:val="auto"/>
                <w:sz w:val="24"/>
                <w:highlight w:val="none"/>
                <w:lang w:val="en-US" w:eastAsia="zh-CN"/>
              </w:rPr>
              <w:t>较</w:t>
            </w:r>
            <w:r>
              <w:rPr>
                <w:rFonts w:hint="eastAsia" w:hAnsi="宋体" w:cs="宋体"/>
                <w:bCs/>
                <w:color w:val="auto"/>
                <w:sz w:val="24"/>
                <w:highlight w:val="none"/>
              </w:rPr>
              <w:t>满足项目要求的，得</w:t>
            </w:r>
            <w:r>
              <w:rPr>
                <w:rFonts w:hint="eastAsia" w:hAnsi="宋体" w:cs="宋体"/>
                <w:bCs/>
                <w:color w:val="auto"/>
                <w:sz w:val="24"/>
                <w:highlight w:val="none"/>
                <w:lang w:val="en-US" w:eastAsia="zh-CN"/>
              </w:rPr>
              <w:t>8</w:t>
            </w:r>
            <w:r>
              <w:rPr>
                <w:rFonts w:hint="eastAsia" w:hAnsi="宋体" w:cs="宋体"/>
                <w:bCs/>
                <w:color w:val="auto"/>
                <w:sz w:val="24"/>
                <w:highlight w:val="none"/>
              </w:rPr>
              <w:t>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（3）方案不够详细、完善、合理，可行性差，</w:t>
            </w:r>
            <w:r>
              <w:rPr>
                <w:rFonts w:hint="eastAsia" w:hAnsi="宋体" w:cs="宋体"/>
                <w:bCs/>
                <w:color w:val="auto"/>
                <w:sz w:val="24"/>
                <w:highlight w:val="none"/>
                <w:lang w:val="en-US" w:eastAsia="zh-CN"/>
              </w:rPr>
              <w:t>能基本</w:t>
            </w:r>
            <w:r>
              <w:rPr>
                <w:rFonts w:hint="eastAsia" w:hAnsi="宋体" w:cs="宋体"/>
                <w:bCs/>
                <w:color w:val="auto"/>
                <w:sz w:val="24"/>
                <w:highlight w:val="none"/>
              </w:rPr>
              <w:t>满足项目部分要求的，得</w:t>
            </w:r>
            <w:r>
              <w:rPr>
                <w:rFonts w:hint="eastAsia" w:hAnsi="宋体" w:cs="宋体"/>
                <w:bCs/>
                <w:color w:val="auto"/>
                <w:sz w:val="24"/>
                <w:highlight w:val="none"/>
                <w:lang w:val="en-US" w:eastAsia="zh-CN"/>
              </w:rPr>
              <w:t>1</w:t>
            </w:r>
            <w:r>
              <w:rPr>
                <w:rFonts w:hint="eastAsia" w:hAnsi="宋体" w:cs="宋体"/>
                <w:bCs/>
                <w:color w:val="auto"/>
                <w:sz w:val="24"/>
                <w:highlight w:val="none"/>
              </w:rPr>
              <w:t>分；</w:t>
            </w:r>
          </w:p>
          <w:p>
            <w:pPr>
              <w:pStyle w:val="6"/>
              <w:adjustRightInd w:val="0"/>
              <w:snapToGrid w:val="0"/>
              <w:spacing w:line="360" w:lineRule="exact"/>
              <w:ind w:firstLine="480" w:firstLineChars="200"/>
              <w:rPr>
                <w:rFonts w:hAnsi="宋体" w:cs="宋体"/>
                <w:color w:val="auto"/>
                <w:sz w:val="24"/>
                <w:highlight w:val="none"/>
              </w:rPr>
            </w:pPr>
            <w:r>
              <w:rPr>
                <w:rFonts w:hint="eastAsia" w:hAnsi="宋体" w:cs="宋体"/>
                <w:bCs/>
                <w:color w:val="auto"/>
                <w:sz w:val="24"/>
                <w:highlight w:val="none"/>
              </w:rPr>
              <w:t>（4）未提供不得分。</w:t>
            </w:r>
          </w:p>
        </w:tc>
        <w:tc>
          <w:tcPr>
            <w:tcW w:w="850" w:type="dxa"/>
            <w:vAlign w:val="center"/>
          </w:tcPr>
          <w:p>
            <w:pPr>
              <w:widowControl/>
              <w:rPr>
                <w:rFonts w:ascii="宋体" w:cs="宋体"/>
                <w:color w:val="auto"/>
                <w:kern w:val="0"/>
                <w:sz w:val="24"/>
                <w:highlight w:val="none"/>
              </w:rPr>
            </w:pPr>
            <w:r>
              <w:rPr>
                <w:rFonts w:hint="eastAsia" w:ascii="宋体" w:hAnsi="宋体" w:cs="宋体"/>
                <w:color w:val="auto"/>
                <w:kern w:val="0"/>
                <w:sz w:val="24"/>
                <w:highlight w:val="none"/>
              </w:rPr>
              <w:t>16分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10" w:hRule="atLeast"/>
        </w:trPr>
        <w:tc>
          <w:tcPr>
            <w:tcW w:w="810" w:type="dxa"/>
            <w:vMerge w:val="continue"/>
            <w:vAlign w:val="center"/>
          </w:tcPr>
          <w:p>
            <w:pPr>
              <w:widowControl/>
              <w:jc w:val="center"/>
              <w:rPr>
                <w:rFonts w:ascii="宋体" w:cs="宋体"/>
                <w:color w:val="auto"/>
                <w:kern w:val="0"/>
                <w:sz w:val="24"/>
                <w:highlight w:val="none"/>
              </w:rPr>
            </w:pPr>
          </w:p>
        </w:tc>
        <w:tc>
          <w:tcPr>
            <w:tcW w:w="1515" w:type="dxa"/>
            <w:vAlign w:val="center"/>
          </w:tcPr>
          <w:p>
            <w:pPr>
              <w:widowControl/>
              <w:jc w:val="center"/>
              <w:rPr>
                <w:rFonts w:hAnsi="宋体" w:cs="宋体"/>
                <w:b/>
                <w:bCs/>
                <w:color w:val="auto"/>
                <w:sz w:val="24"/>
                <w:highlight w:val="none"/>
              </w:rPr>
            </w:pPr>
            <w:r>
              <w:rPr>
                <w:rFonts w:hint="eastAsia" w:hAnsi="宋体" w:cs="宋体"/>
                <w:b/>
                <w:bCs/>
                <w:color w:val="auto"/>
                <w:sz w:val="24"/>
                <w:highlight w:val="none"/>
              </w:rPr>
              <w:t>安全管理方案</w:t>
            </w:r>
          </w:p>
        </w:tc>
        <w:tc>
          <w:tcPr>
            <w:tcW w:w="6946" w:type="dxa"/>
            <w:vAlign w:val="center"/>
          </w:tcPr>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根据投标人针对本项目制定的安全管理制度、档案实体安全措施、档案数据安全措施、系统安全保障措施、人员安全保障、场地安全管控方案等进行评价：</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（1）制度非常健全，方案非常完善、合理，针对性非常强，能完全满足项目要求的，得12分；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（2）制度较为健全，方案较完善、合理，针对性较强，</w:t>
            </w:r>
            <w:r>
              <w:rPr>
                <w:rFonts w:hint="eastAsia" w:hAnsi="宋体" w:cs="宋体"/>
                <w:bCs/>
                <w:color w:val="auto"/>
                <w:sz w:val="24"/>
                <w:highlight w:val="none"/>
                <w:lang w:val="en-US" w:eastAsia="zh-CN"/>
              </w:rPr>
              <w:t>较</w:t>
            </w:r>
            <w:r>
              <w:rPr>
                <w:rFonts w:hint="eastAsia" w:hAnsi="宋体" w:cs="宋体"/>
                <w:bCs/>
                <w:color w:val="auto"/>
                <w:sz w:val="24"/>
                <w:highlight w:val="none"/>
              </w:rPr>
              <w:t>满足项目要求的，得</w:t>
            </w:r>
            <w:r>
              <w:rPr>
                <w:rFonts w:hint="eastAsia" w:hAnsi="宋体" w:cs="宋体"/>
                <w:bCs/>
                <w:color w:val="auto"/>
                <w:sz w:val="24"/>
                <w:highlight w:val="none"/>
                <w:lang w:val="en-US" w:eastAsia="zh-CN"/>
              </w:rPr>
              <w:t>6</w:t>
            </w:r>
            <w:r>
              <w:rPr>
                <w:rFonts w:hint="eastAsia" w:hAnsi="宋体" w:cs="宋体"/>
                <w:bCs/>
                <w:color w:val="auto"/>
                <w:sz w:val="24"/>
                <w:highlight w:val="none"/>
              </w:rPr>
              <w:t>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（3）制度不健全，方案不够完善、合理，针对性差，</w:t>
            </w:r>
            <w:r>
              <w:rPr>
                <w:rFonts w:hint="eastAsia" w:hAnsi="宋体" w:cs="宋体"/>
                <w:bCs/>
                <w:color w:val="auto"/>
                <w:sz w:val="24"/>
                <w:highlight w:val="none"/>
                <w:lang w:val="en-US" w:eastAsia="zh-CN"/>
              </w:rPr>
              <w:t>能基本</w:t>
            </w:r>
            <w:r>
              <w:rPr>
                <w:rFonts w:hint="eastAsia" w:hAnsi="宋体" w:cs="宋体"/>
                <w:bCs/>
                <w:color w:val="auto"/>
                <w:sz w:val="24"/>
                <w:highlight w:val="none"/>
              </w:rPr>
              <w:t>满足项目部分要求的，得1分；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（4）未提供不得分。</w:t>
            </w:r>
          </w:p>
        </w:tc>
        <w:tc>
          <w:tcPr>
            <w:tcW w:w="850" w:type="dxa"/>
            <w:vAlign w:val="center"/>
          </w:tcPr>
          <w:p>
            <w:pPr>
              <w:widowControl/>
              <w:rPr>
                <w:rFonts w:ascii="宋体" w:hAnsi="宋体" w:cs="宋体"/>
                <w:color w:val="auto"/>
                <w:kern w:val="0"/>
                <w:sz w:val="24"/>
                <w:highlight w:val="none"/>
              </w:rPr>
            </w:pPr>
            <w:r>
              <w:rPr>
                <w:rFonts w:hint="eastAsia" w:ascii="宋体" w:hAnsi="宋体" w:cs="宋体"/>
                <w:color w:val="auto"/>
                <w:kern w:val="0"/>
                <w:sz w:val="24"/>
                <w:highlight w:val="none"/>
              </w:rPr>
              <w:t>12分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10" w:hRule="atLeast"/>
        </w:trPr>
        <w:tc>
          <w:tcPr>
            <w:tcW w:w="810" w:type="dxa"/>
            <w:vMerge w:val="continue"/>
            <w:vAlign w:val="center"/>
          </w:tcPr>
          <w:p>
            <w:pPr>
              <w:widowControl/>
              <w:jc w:val="center"/>
              <w:rPr>
                <w:rFonts w:ascii="宋体" w:cs="宋体"/>
                <w:color w:val="auto"/>
                <w:kern w:val="0"/>
                <w:sz w:val="24"/>
                <w:highlight w:val="none"/>
              </w:rPr>
            </w:pPr>
          </w:p>
        </w:tc>
        <w:tc>
          <w:tcPr>
            <w:tcW w:w="1515" w:type="dxa"/>
            <w:vAlign w:val="center"/>
          </w:tcPr>
          <w:p>
            <w:pPr>
              <w:widowControl/>
              <w:jc w:val="center"/>
              <w:rPr>
                <w:rFonts w:hAnsi="宋体" w:cs="宋体"/>
                <w:b/>
                <w:bCs/>
                <w:color w:val="auto"/>
                <w:sz w:val="24"/>
                <w:highlight w:val="none"/>
              </w:rPr>
            </w:pPr>
            <w:r>
              <w:rPr>
                <w:rFonts w:hint="eastAsia" w:hAnsi="宋体" w:cs="宋体"/>
                <w:b/>
                <w:bCs/>
                <w:color w:val="auto"/>
                <w:sz w:val="24"/>
                <w:highlight w:val="none"/>
              </w:rPr>
              <w:t>保密管理方案</w:t>
            </w:r>
          </w:p>
        </w:tc>
        <w:tc>
          <w:tcPr>
            <w:tcW w:w="6946" w:type="dxa"/>
            <w:vAlign w:val="center"/>
          </w:tcPr>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根据投标人针对本项目制定的保密制度、保密要求、涉密载体使用管理、涉密人员管理、安全保密协议方案等进行评价：</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（1）制度非常健全，方案非常完善、合理，保密性非常强，能完全满足项目要求的，得11分；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（2）制度较为健全，方案较完善、合理，保密性较强，</w:t>
            </w:r>
            <w:r>
              <w:rPr>
                <w:rFonts w:hint="eastAsia" w:hAnsi="宋体" w:cs="宋体"/>
                <w:bCs/>
                <w:color w:val="auto"/>
                <w:sz w:val="24"/>
                <w:highlight w:val="none"/>
                <w:lang w:val="en-US" w:eastAsia="zh-CN"/>
              </w:rPr>
              <w:t>较</w:t>
            </w:r>
            <w:r>
              <w:rPr>
                <w:rFonts w:hint="eastAsia" w:hAnsi="宋体" w:cs="宋体"/>
                <w:bCs/>
                <w:color w:val="auto"/>
                <w:sz w:val="24"/>
                <w:highlight w:val="none"/>
              </w:rPr>
              <w:t>满足项目要求的，得6分；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（3）制度不健全，方案不够完善、合理，保密性差，能</w:t>
            </w:r>
            <w:r>
              <w:rPr>
                <w:rFonts w:hint="eastAsia" w:hAnsi="宋体" w:cs="宋体"/>
                <w:bCs/>
                <w:color w:val="auto"/>
                <w:sz w:val="24"/>
                <w:highlight w:val="none"/>
                <w:lang w:val="en-US" w:eastAsia="zh-CN"/>
              </w:rPr>
              <w:t>基本</w:t>
            </w:r>
            <w:r>
              <w:rPr>
                <w:rFonts w:hint="eastAsia" w:hAnsi="宋体" w:cs="宋体"/>
                <w:bCs/>
                <w:color w:val="auto"/>
                <w:sz w:val="24"/>
                <w:highlight w:val="none"/>
              </w:rPr>
              <w:t>满足项目部分要求的，得1分；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（4）未提供不得分。</w:t>
            </w:r>
          </w:p>
        </w:tc>
        <w:tc>
          <w:tcPr>
            <w:tcW w:w="850" w:type="dxa"/>
            <w:vAlign w:val="center"/>
          </w:tcPr>
          <w:p>
            <w:pPr>
              <w:widowControl/>
              <w:rPr>
                <w:rFonts w:ascii="宋体" w:hAnsi="宋体" w:cs="宋体"/>
                <w:color w:val="auto"/>
                <w:kern w:val="0"/>
                <w:sz w:val="24"/>
                <w:highlight w:val="none"/>
              </w:rPr>
            </w:pPr>
            <w:r>
              <w:rPr>
                <w:rFonts w:hint="eastAsia" w:ascii="宋体" w:hAnsi="宋体" w:cs="宋体"/>
                <w:color w:val="auto"/>
                <w:kern w:val="0"/>
                <w:sz w:val="24"/>
                <w:highlight w:val="none"/>
              </w:rPr>
              <w:t>11分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295" w:hRule="atLeast"/>
        </w:trPr>
        <w:tc>
          <w:tcPr>
            <w:tcW w:w="810" w:type="dxa"/>
            <w:vMerge w:val="continue"/>
            <w:vAlign w:val="center"/>
          </w:tcPr>
          <w:p>
            <w:pPr>
              <w:widowControl/>
              <w:jc w:val="center"/>
              <w:rPr>
                <w:rFonts w:ascii="宋体" w:cs="宋体"/>
                <w:color w:val="auto"/>
                <w:kern w:val="0"/>
                <w:sz w:val="24"/>
                <w:highlight w:val="none"/>
              </w:rPr>
            </w:pPr>
          </w:p>
        </w:tc>
        <w:tc>
          <w:tcPr>
            <w:tcW w:w="1515" w:type="dxa"/>
            <w:vAlign w:val="center"/>
          </w:tcPr>
          <w:p>
            <w:pPr>
              <w:widowControl/>
              <w:jc w:val="center"/>
              <w:rPr>
                <w:rFonts w:hAnsi="宋体" w:cs="宋体"/>
                <w:b/>
                <w:bCs/>
                <w:color w:val="auto"/>
                <w:sz w:val="24"/>
                <w:highlight w:val="none"/>
              </w:rPr>
            </w:pPr>
            <w:r>
              <w:rPr>
                <w:rFonts w:hint="eastAsia" w:hAnsi="宋体" w:cs="宋体"/>
                <w:b/>
                <w:bCs/>
                <w:color w:val="auto"/>
                <w:sz w:val="24"/>
                <w:highlight w:val="none"/>
              </w:rPr>
              <w:t>质量保障方案</w:t>
            </w:r>
          </w:p>
        </w:tc>
        <w:tc>
          <w:tcPr>
            <w:tcW w:w="6946" w:type="dxa"/>
            <w:vAlign w:val="center"/>
          </w:tcPr>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根据投标人针对本项目制定的质量检查制度、质量审核流程、质量保障措施、质量检验方法等方案进行评价：</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（1）制度非常健全，方案非常完善、合理，针对性非常强，能完全满足项目要求的，得11分；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（2）制度较为健全，方案较完善、合理，针对性较强，</w:t>
            </w:r>
            <w:r>
              <w:rPr>
                <w:rFonts w:hint="eastAsia" w:hAnsi="宋体" w:cs="宋体"/>
                <w:bCs/>
                <w:color w:val="auto"/>
                <w:sz w:val="24"/>
                <w:highlight w:val="none"/>
                <w:lang w:val="en-US" w:eastAsia="zh-CN"/>
              </w:rPr>
              <w:t>较</w:t>
            </w:r>
            <w:r>
              <w:rPr>
                <w:rFonts w:hint="eastAsia" w:hAnsi="宋体" w:cs="宋体"/>
                <w:bCs/>
                <w:color w:val="auto"/>
                <w:sz w:val="24"/>
                <w:highlight w:val="none"/>
              </w:rPr>
              <w:t>满足项目要求的，得6分；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（3）制度不健全，方案不够完善、合理，针对性差，能</w:t>
            </w:r>
            <w:r>
              <w:rPr>
                <w:rFonts w:hint="eastAsia" w:hAnsi="宋体" w:cs="宋体"/>
                <w:bCs/>
                <w:color w:val="auto"/>
                <w:sz w:val="24"/>
                <w:highlight w:val="none"/>
                <w:lang w:val="en-US" w:eastAsia="zh-CN"/>
              </w:rPr>
              <w:t>基本</w:t>
            </w:r>
            <w:r>
              <w:rPr>
                <w:rFonts w:hint="eastAsia" w:hAnsi="宋体" w:cs="宋体"/>
                <w:bCs/>
                <w:color w:val="auto"/>
                <w:sz w:val="24"/>
                <w:highlight w:val="none"/>
              </w:rPr>
              <w:t>满足项目部分要求的，得1分；</w:t>
            </w:r>
          </w:p>
          <w:p>
            <w:pPr>
              <w:pStyle w:val="6"/>
              <w:adjustRightInd w:val="0"/>
              <w:snapToGrid w:val="0"/>
              <w:spacing w:line="360" w:lineRule="exact"/>
              <w:ind w:firstLine="480" w:firstLineChars="200"/>
              <w:rPr>
                <w:rFonts w:hAnsi="宋体" w:cs="宋体"/>
                <w:bCs/>
                <w:color w:val="auto"/>
                <w:sz w:val="24"/>
                <w:highlight w:val="none"/>
              </w:rPr>
            </w:pPr>
            <w:r>
              <w:rPr>
                <w:rFonts w:hint="eastAsia" w:hAnsi="宋体" w:cs="宋体"/>
                <w:bCs/>
                <w:color w:val="auto"/>
                <w:sz w:val="24"/>
                <w:highlight w:val="none"/>
              </w:rPr>
              <w:t>（4）未提供不得分。</w:t>
            </w:r>
          </w:p>
        </w:tc>
        <w:tc>
          <w:tcPr>
            <w:tcW w:w="850" w:type="dxa"/>
            <w:vAlign w:val="center"/>
          </w:tcPr>
          <w:p>
            <w:pPr>
              <w:widowControl/>
              <w:rPr>
                <w:rFonts w:ascii="宋体" w:hAnsi="宋体" w:cs="宋体"/>
                <w:color w:val="auto"/>
                <w:kern w:val="0"/>
                <w:sz w:val="24"/>
                <w:highlight w:val="none"/>
              </w:rPr>
            </w:pPr>
            <w:r>
              <w:rPr>
                <w:rFonts w:hint="eastAsia" w:ascii="宋体" w:hAnsi="宋体" w:cs="宋体"/>
                <w:color w:val="auto"/>
                <w:kern w:val="0"/>
                <w:sz w:val="24"/>
                <w:highlight w:val="none"/>
              </w:rPr>
              <w:t>11分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1035" w:hRule="atLeast"/>
        </w:trPr>
        <w:tc>
          <w:tcPr>
            <w:tcW w:w="810" w:type="dxa"/>
            <w:vMerge w:val="restart"/>
            <w:vAlign w:val="center"/>
          </w:tcPr>
          <w:p>
            <w:pPr>
              <w:widowControl/>
              <w:rPr>
                <w:rFonts w:ascii="宋体" w:cs="宋体"/>
                <w:color w:val="auto"/>
                <w:kern w:val="0"/>
                <w:sz w:val="24"/>
                <w:highlight w:val="none"/>
              </w:rPr>
            </w:pPr>
          </w:p>
          <w:p>
            <w:pPr>
              <w:widowControl/>
              <w:jc w:val="center"/>
              <w:rPr>
                <w:rFonts w:ascii="宋体" w:cs="宋体"/>
                <w:color w:val="auto"/>
                <w:kern w:val="0"/>
                <w:sz w:val="24"/>
                <w:highlight w:val="none"/>
              </w:rPr>
            </w:pPr>
          </w:p>
          <w:p>
            <w:pPr>
              <w:widowControl/>
              <w:jc w:val="center"/>
              <w:rPr>
                <w:rFonts w:ascii="宋体" w:cs="宋体"/>
                <w:color w:val="auto"/>
                <w:kern w:val="0"/>
                <w:sz w:val="24"/>
                <w:highlight w:val="none"/>
              </w:rPr>
            </w:pPr>
          </w:p>
          <w:p>
            <w:pPr>
              <w:widowControl/>
              <w:rPr>
                <w:rFonts w:ascii="宋体" w:hAnsi="宋体" w:cs="宋体"/>
                <w:bCs/>
                <w:color w:val="auto"/>
                <w:kern w:val="0"/>
                <w:sz w:val="24"/>
                <w:highlight w:val="none"/>
              </w:rPr>
            </w:pPr>
            <w:r>
              <w:rPr>
                <w:rFonts w:hint="eastAsia" w:ascii="宋体" w:hAnsi="宋体" w:cs="宋体"/>
                <w:bCs/>
                <w:color w:val="auto"/>
                <w:kern w:val="0"/>
                <w:sz w:val="24"/>
                <w:highlight w:val="none"/>
              </w:rPr>
              <w:t>商务</w:t>
            </w:r>
          </w:p>
          <w:p>
            <w:pPr>
              <w:pStyle w:val="8"/>
              <w:rPr>
                <w:bCs/>
                <w:color w:val="auto"/>
                <w:highlight w:val="none"/>
              </w:rPr>
            </w:pPr>
            <w:r>
              <w:rPr>
                <w:rFonts w:hint="eastAsia" w:ascii="宋体" w:hAnsi="宋体" w:cs="宋体"/>
                <w:bCs/>
                <w:color w:val="auto"/>
                <w:kern w:val="0"/>
                <w:sz w:val="24"/>
                <w:highlight w:val="none"/>
              </w:rPr>
              <w:t>部分</w:t>
            </w:r>
          </w:p>
          <w:p>
            <w:pPr>
              <w:widowControl/>
              <w:jc w:val="center"/>
              <w:rPr>
                <w:rFonts w:ascii="宋体" w:cs="宋体"/>
                <w:color w:val="auto"/>
                <w:kern w:val="0"/>
                <w:sz w:val="24"/>
                <w:highlight w:val="none"/>
              </w:rPr>
            </w:pPr>
            <w:r>
              <w:rPr>
                <w:rFonts w:hint="eastAsia" w:ascii="宋体" w:hAnsi="宋体" w:cs="宋体"/>
                <w:bCs/>
                <w:color w:val="auto"/>
                <w:kern w:val="0"/>
                <w:sz w:val="24"/>
                <w:highlight w:val="none"/>
              </w:rPr>
              <w:t>40分</w:t>
            </w:r>
          </w:p>
        </w:tc>
        <w:tc>
          <w:tcPr>
            <w:tcW w:w="1515" w:type="dxa"/>
            <w:vAlign w:val="center"/>
          </w:tcPr>
          <w:p>
            <w:pPr>
              <w:widowControl/>
              <w:jc w:val="center"/>
              <w:rPr>
                <w:rFonts w:ascii="宋体" w:cs="宋体"/>
                <w:color w:val="auto"/>
                <w:kern w:val="0"/>
                <w:sz w:val="24"/>
                <w:highlight w:val="none"/>
              </w:rPr>
            </w:pPr>
            <w:r>
              <w:rPr>
                <w:rFonts w:hint="eastAsia" w:ascii="宋体" w:hAnsi="宋体"/>
                <w:b/>
                <w:color w:val="auto"/>
                <w:sz w:val="24"/>
                <w:highlight w:val="none"/>
              </w:rPr>
              <w:t>拟投入本项目的人员</w:t>
            </w:r>
          </w:p>
        </w:tc>
        <w:tc>
          <w:tcPr>
            <w:tcW w:w="6946" w:type="dxa"/>
            <w:vAlign w:val="center"/>
          </w:tcPr>
          <w:p>
            <w:pPr>
              <w:pStyle w:val="4"/>
              <w:widowControl/>
              <w:jc w:val="left"/>
              <w:rPr>
                <w:rFonts w:hAnsi="宋体" w:cs="宋体"/>
                <w:color w:val="auto"/>
                <w:sz w:val="24"/>
                <w:szCs w:val="24"/>
                <w:highlight w:val="none"/>
              </w:rPr>
            </w:pPr>
            <w:r>
              <w:rPr>
                <w:rFonts w:hint="eastAsia" w:hAnsi="宋体" w:cs="宋体"/>
                <w:b/>
                <w:bCs/>
                <w:color w:val="auto"/>
                <w:sz w:val="24"/>
                <w:szCs w:val="24"/>
                <w:highlight w:val="none"/>
              </w:rPr>
              <w:t>1.项目负责人</w:t>
            </w:r>
            <w:r>
              <w:rPr>
                <w:rFonts w:hint="eastAsia" w:hAnsi="宋体" w:cs="宋体"/>
                <w:b/>
                <w:bCs/>
                <w:color w:val="auto"/>
                <w:sz w:val="24"/>
                <w:szCs w:val="24"/>
                <w:highlight w:val="none"/>
                <w:lang w:eastAsia="zh-CN"/>
              </w:rPr>
              <w:t>：</w:t>
            </w:r>
            <w:r>
              <w:rPr>
                <w:rFonts w:hint="eastAsia" w:hAnsi="宋体" w:cs="宋体"/>
                <w:strike w:val="0"/>
                <w:dstrike w:val="0"/>
                <w:color w:val="auto"/>
                <w:sz w:val="24"/>
                <w:szCs w:val="24"/>
                <w:highlight w:val="none"/>
              </w:rPr>
              <w:t>专业能力评</w:t>
            </w:r>
            <w:r>
              <w:rPr>
                <w:rFonts w:hint="eastAsia" w:hAnsi="宋体" w:cs="宋体"/>
                <w:strike w:val="0"/>
                <w:dstrike w:val="0"/>
                <w:color w:val="auto"/>
                <w:sz w:val="24"/>
                <w:szCs w:val="24"/>
                <w:highlight w:val="none"/>
                <w:lang w:val="en-US" w:eastAsia="zh-CN"/>
              </w:rPr>
              <w:t>定</w:t>
            </w:r>
            <w:r>
              <w:rPr>
                <w:rFonts w:hint="eastAsia" w:hAnsi="宋体" w:cs="宋体"/>
                <w:strike w:val="0"/>
                <w:dstrike w:val="0"/>
                <w:color w:val="auto"/>
                <w:sz w:val="24"/>
                <w:szCs w:val="24"/>
                <w:highlight w:val="none"/>
              </w:rPr>
              <w:t>，</w:t>
            </w:r>
            <w:r>
              <w:rPr>
                <w:rFonts w:hint="eastAsia" w:hAnsi="宋体" w:cs="宋体"/>
                <w:color w:val="auto"/>
                <w:sz w:val="24"/>
                <w:szCs w:val="24"/>
                <w:highlight w:val="none"/>
              </w:rPr>
              <w:t>满分</w:t>
            </w:r>
            <w:r>
              <w:rPr>
                <w:rFonts w:hint="eastAsia" w:hAnsi="宋体" w:cs="宋体"/>
                <w:color w:val="auto"/>
                <w:sz w:val="24"/>
                <w:szCs w:val="24"/>
                <w:highlight w:val="none"/>
                <w:lang w:val="en-US" w:eastAsia="zh-CN"/>
              </w:rPr>
              <w:t>10</w:t>
            </w:r>
            <w:r>
              <w:rPr>
                <w:rFonts w:hint="eastAsia" w:hAnsi="宋体" w:cs="宋体"/>
                <w:color w:val="auto"/>
                <w:sz w:val="24"/>
                <w:szCs w:val="24"/>
                <w:highlight w:val="none"/>
              </w:rPr>
              <w:t>分：</w:t>
            </w:r>
          </w:p>
          <w:p>
            <w:pPr>
              <w:pStyle w:val="4"/>
              <w:widowControl/>
              <w:jc w:val="left"/>
              <w:rPr>
                <w:rFonts w:hint="eastAsia" w:hAnsi="宋体" w:cs="宋体"/>
                <w:color w:val="auto"/>
                <w:sz w:val="24"/>
                <w:szCs w:val="24"/>
                <w:highlight w:val="none"/>
              </w:rPr>
            </w:pPr>
            <w:r>
              <w:rPr>
                <w:rFonts w:hint="eastAsia" w:hAnsi="宋体" w:cs="宋体"/>
                <w:color w:val="auto"/>
                <w:sz w:val="24"/>
                <w:szCs w:val="24"/>
                <w:highlight w:val="none"/>
              </w:rPr>
              <w:t>（1）具有档案</w:t>
            </w:r>
            <w:r>
              <w:rPr>
                <w:rFonts w:hint="eastAsia" w:hAnsi="宋体" w:cs="宋体"/>
                <w:color w:val="auto"/>
                <w:sz w:val="24"/>
                <w:szCs w:val="24"/>
                <w:highlight w:val="none"/>
                <w:lang w:val="en-US" w:eastAsia="zh-CN"/>
              </w:rPr>
              <w:t>岗</w:t>
            </w:r>
            <w:r>
              <w:rPr>
                <w:rFonts w:hint="eastAsia" w:hAnsi="宋体" w:cs="宋体"/>
                <w:color w:val="auto"/>
                <w:sz w:val="24"/>
                <w:szCs w:val="24"/>
                <w:highlight w:val="none"/>
              </w:rPr>
              <w:t>证</w:t>
            </w:r>
            <w:r>
              <w:rPr>
                <w:rFonts w:hint="eastAsia" w:hAnsi="宋体" w:cs="宋体"/>
                <w:color w:val="auto"/>
                <w:sz w:val="24"/>
                <w:szCs w:val="24"/>
                <w:highlight w:val="none"/>
                <w:lang w:val="en-US" w:eastAsia="zh-CN"/>
              </w:rPr>
              <w:t>培训合格证</w:t>
            </w:r>
            <w:r>
              <w:rPr>
                <w:rFonts w:hint="eastAsia" w:hAnsi="宋体" w:cs="宋体"/>
                <w:color w:val="auto"/>
                <w:sz w:val="24"/>
                <w:szCs w:val="24"/>
                <w:highlight w:val="none"/>
              </w:rPr>
              <w:t>书的，得</w:t>
            </w:r>
            <w:r>
              <w:rPr>
                <w:rFonts w:hint="eastAsia" w:hAnsi="宋体" w:cs="宋体"/>
                <w:color w:val="auto"/>
                <w:sz w:val="24"/>
                <w:szCs w:val="24"/>
                <w:highlight w:val="none"/>
                <w:lang w:val="en-US" w:eastAsia="zh-CN"/>
              </w:rPr>
              <w:t>4</w:t>
            </w:r>
            <w:r>
              <w:rPr>
                <w:rFonts w:hint="eastAsia" w:hAnsi="宋体" w:cs="宋体"/>
                <w:color w:val="auto"/>
                <w:sz w:val="24"/>
                <w:szCs w:val="24"/>
                <w:highlight w:val="none"/>
              </w:rPr>
              <w:t>分；</w:t>
            </w:r>
          </w:p>
          <w:p>
            <w:pPr>
              <w:pStyle w:val="4"/>
              <w:widowControl/>
              <w:jc w:val="left"/>
              <w:rPr>
                <w:color w:val="auto"/>
                <w:sz w:val="24"/>
                <w:szCs w:val="24"/>
                <w:highlight w:val="none"/>
              </w:rPr>
            </w:pPr>
            <w:r>
              <w:rPr>
                <w:rFonts w:hint="eastAsia" w:hAnsi="宋体" w:cs="宋体"/>
                <w:color w:val="auto"/>
                <w:sz w:val="24"/>
                <w:szCs w:val="24"/>
                <w:highlight w:val="none"/>
              </w:rPr>
              <w:t>（</w:t>
            </w:r>
            <w:r>
              <w:rPr>
                <w:rFonts w:hint="eastAsia" w:hAnsi="宋体" w:cs="宋体"/>
                <w:color w:val="auto"/>
                <w:sz w:val="24"/>
                <w:szCs w:val="24"/>
                <w:highlight w:val="none"/>
                <w:lang w:val="en-US" w:eastAsia="zh-CN"/>
              </w:rPr>
              <w:t>2</w:t>
            </w:r>
            <w:r>
              <w:rPr>
                <w:rFonts w:hint="eastAsia" w:hAnsi="宋体" w:cs="宋体"/>
                <w:color w:val="auto"/>
                <w:sz w:val="24"/>
                <w:szCs w:val="24"/>
                <w:highlight w:val="none"/>
              </w:rPr>
              <w:t>）具有档案</w:t>
            </w:r>
            <w:r>
              <w:rPr>
                <w:rFonts w:hint="eastAsia" w:hAnsi="宋体" w:cs="宋体"/>
                <w:color w:val="auto"/>
                <w:sz w:val="24"/>
                <w:szCs w:val="24"/>
                <w:highlight w:val="none"/>
                <w:lang w:val="en-US" w:eastAsia="zh-CN"/>
              </w:rPr>
              <w:t>专业助理级馆员或以上</w:t>
            </w:r>
            <w:r>
              <w:rPr>
                <w:rFonts w:hint="eastAsia" w:hAnsi="宋体" w:cs="宋体"/>
                <w:color w:val="auto"/>
                <w:sz w:val="24"/>
                <w:szCs w:val="24"/>
                <w:highlight w:val="none"/>
              </w:rPr>
              <w:t>职称证书的，得</w:t>
            </w:r>
            <w:r>
              <w:rPr>
                <w:rFonts w:hint="eastAsia" w:hAnsi="宋体" w:cs="宋体"/>
                <w:color w:val="auto"/>
                <w:sz w:val="24"/>
                <w:szCs w:val="24"/>
                <w:highlight w:val="none"/>
                <w:lang w:val="en-US" w:eastAsia="zh-CN"/>
              </w:rPr>
              <w:t>4</w:t>
            </w:r>
            <w:r>
              <w:rPr>
                <w:rFonts w:hint="eastAsia" w:hAnsi="宋体" w:cs="宋体"/>
                <w:color w:val="auto"/>
                <w:sz w:val="24"/>
                <w:szCs w:val="24"/>
                <w:highlight w:val="none"/>
              </w:rPr>
              <w:t>分；</w:t>
            </w:r>
          </w:p>
          <w:p>
            <w:pPr>
              <w:pStyle w:val="4"/>
              <w:widowControl/>
              <w:jc w:val="left"/>
              <w:rPr>
                <w:rFonts w:hint="eastAsia" w:hAnsi="宋体" w:cs="宋体"/>
                <w:color w:val="auto"/>
                <w:sz w:val="24"/>
                <w:szCs w:val="24"/>
                <w:highlight w:val="none"/>
              </w:rPr>
            </w:pPr>
            <w:r>
              <w:rPr>
                <w:rFonts w:hint="eastAsia" w:hAnsi="宋体" w:cs="宋体"/>
                <w:color w:val="auto"/>
                <w:sz w:val="24"/>
                <w:szCs w:val="24"/>
                <w:highlight w:val="none"/>
              </w:rPr>
              <w:t>（</w:t>
            </w:r>
            <w:r>
              <w:rPr>
                <w:rFonts w:hint="eastAsia" w:hAnsi="宋体" w:cs="宋体"/>
                <w:color w:val="auto"/>
                <w:sz w:val="24"/>
                <w:szCs w:val="24"/>
                <w:highlight w:val="none"/>
                <w:lang w:val="en-US" w:eastAsia="zh-CN"/>
              </w:rPr>
              <w:t>3</w:t>
            </w:r>
            <w:r>
              <w:rPr>
                <w:rFonts w:hint="eastAsia" w:hAnsi="宋体" w:cs="宋体"/>
                <w:color w:val="auto"/>
                <w:sz w:val="24"/>
                <w:szCs w:val="24"/>
                <w:highlight w:val="none"/>
              </w:rPr>
              <w:t>）具有</w:t>
            </w:r>
            <w:r>
              <w:rPr>
                <w:rFonts w:hint="eastAsia" w:hAnsi="宋体" w:cs="宋体"/>
                <w:color w:val="auto"/>
                <w:sz w:val="24"/>
                <w:szCs w:val="24"/>
                <w:highlight w:val="none"/>
                <w:lang w:val="en-US" w:eastAsia="zh-CN"/>
              </w:rPr>
              <w:t>保密教育培训证书，得2分</w:t>
            </w:r>
            <w:r>
              <w:rPr>
                <w:rFonts w:hint="eastAsia" w:hAnsi="宋体" w:cs="宋体"/>
                <w:color w:val="auto"/>
                <w:sz w:val="24"/>
                <w:szCs w:val="24"/>
                <w:highlight w:val="none"/>
              </w:rPr>
              <w:t>。</w:t>
            </w:r>
          </w:p>
          <w:p>
            <w:pPr>
              <w:pStyle w:val="4"/>
              <w:widowControl/>
              <w:jc w:val="left"/>
              <w:rPr>
                <w:rFonts w:hint="default" w:hAnsi="宋体" w:eastAsia="宋体" w:cs="宋体"/>
                <w:color w:val="auto"/>
                <w:sz w:val="24"/>
                <w:szCs w:val="24"/>
                <w:highlight w:val="none"/>
                <w:lang w:val="en-US" w:eastAsia="zh-CN"/>
              </w:rPr>
            </w:pPr>
            <w:r>
              <w:rPr>
                <w:rFonts w:hint="eastAsia" w:hAnsi="宋体" w:cs="宋体"/>
                <w:b/>
                <w:bCs/>
                <w:color w:val="auto"/>
                <w:sz w:val="24"/>
                <w:szCs w:val="24"/>
                <w:highlight w:val="none"/>
              </w:rPr>
              <w:t>2.技术人员</w:t>
            </w:r>
            <w:r>
              <w:rPr>
                <w:rFonts w:hint="eastAsia" w:hAnsi="宋体" w:cs="宋体"/>
                <w:b/>
                <w:bCs/>
                <w:color w:val="auto"/>
                <w:sz w:val="24"/>
                <w:szCs w:val="24"/>
                <w:highlight w:val="none"/>
                <w:lang w:eastAsia="zh-CN"/>
              </w:rPr>
              <w:t>：</w:t>
            </w:r>
            <w:r>
              <w:rPr>
                <w:rFonts w:hint="eastAsia" w:hAnsi="宋体" w:cs="宋体"/>
                <w:color w:val="auto"/>
                <w:sz w:val="24"/>
                <w:szCs w:val="24"/>
                <w:highlight w:val="none"/>
                <w:lang w:val="en-US" w:eastAsia="zh-CN"/>
              </w:rPr>
              <w:t>专业能力评定，满分10分</w:t>
            </w:r>
          </w:p>
          <w:p>
            <w:pPr>
              <w:pStyle w:val="4"/>
              <w:widowControl/>
              <w:jc w:val="left"/>
              <w:rPr>
                <w:rFonts w:hint="eastAsia" w:hAnsi="宋体" w:cs="宋体"/>
                <w:color w:val="auto"/>
                <w:sz w:val="24"/>
                <w:szCs w:val="24"/>
                <w:highlight w:val="none"/>
              </w:rPr>
            </w:pPr>
            <w:r>
              <w:rPr>
                <w:rFonts w:hint="eastAsia" w:hAnsi="宋体" w:cs="宋体"/>
                <w:color w:val="auto"/>
                <w:sz w:val="24"/>
                <w:szCs w:val="24"/>
                <w:highlight w:val="none"/>
              </w:rPr>
              <w:t>（1）具有档案</w:t>
            </w:r>
            <w:r>
              <w:rPr>
                <w:rFonts w:hint="eastAsia" w:hAnsi="宋体" w:cs="宋体"/>
                <w:color w:val="auto"/>
                <w:sz w:val="24"/>
                <w:szCs w:val="24"/>
                <w:highlight w:val="none"/>
                <w:lang w:val="en-US" w:eastAsia="zh-CN"/>
              </w:rPr>
              <w:t>岗</w:t>
            </w:r>
            <w:r>
              <w:rPr>
                <w:rFonts w:hint="eastAsia" w:hAnsi="宋体" w:cs="宋体"/>
                <w:color w:val="auto"/>
                <w:sz w:val="24"/>
                <w:szCs w:val="24"/>
                <w:highlight w:val="none"/>
              </w:rPr>
              <w:t>证</w:t>
            </w:r>
            <w:r>
              <w:rPr>
                <w:rFonts w:hint="eastAsia" w:hAnsi="宋体" w:cs="宋体"/>
                <w:color w:val="auto"/>
                <w:sz w:val="24"/>
                <w:szCs w:val="24"/>
                <w:highlight w:val="none"/>
                <w:lang w:val="en-US" w:eastAsia="zh-CN"/>
              </w:rPr>
              <w:t>培训合格证</w:t>
            </w:r>
            <w:r>
              <w:rPr>
                <w:rFonts w:hint="eastAsia" w:hAnsi="宋体" w:cs="宋体"/>
                <w:color w:val="auto"/>
                <w:sz w:val="24"/>
                <w:szCs w:val="24"/>
                <w:highlight w:val="none"/>
              </w:rPr>
              <w:t>书的，</w:t>
            </w:r>
            <w:r>
              <w:rPr>
                <w:rFonts w:hint="eastAsia" w:hAnsi="宋体" w:cs="宋体"/>
                <w:color w:val="auto"/>
                <w:sz w:val="24"/>
                <w:szCs w:val="24"/>
                <w:highlight w:val="none"/>
                <w:lang w:val="en-US" w:eastAsia="zh-CN"/>
              </w:rPr>
              <w:t>每个</w:t>
            </w:r>
            <w:r>
              <w:rPr>
                <w:rFonts w:hint="eastAsia" w:hAnsi="宋体" w:cs="宋体"/>
                <w:color w:val="auto"/>
                <w:sz w:val="24"/>
                <w:szCs w:val="24"/>
                <w:highlight w:val="none"/>
              </w:rPr>
              <w:t>得</w:t>
            </w:r>
            <w:bookmarkStart w:id="0" w:name="_GoBack"/>
            <w:bookmarkEnd w:id="0"/>
            <w:r>
              <w:rPr>
                <w:rFonts w:hint="eastAsia" w:hAnsi="宋体" w:cs="宋体"/>
                <w:color w:val="auto"/>
                <w:sz w:val="24"/>
                <w:szCs w:val="24"/>
                <w:highlight w:val="none"/>
                <w:lang w:val="en-US" w:eastAsia="zh-CN"/>
              </w:rPr>
              <w:t>3</w:t>
            </w:r>
            <w:r>
              <w:rPr>
                <w:rFonts w:hint="eastAsia" w:hAnsi="宋体" w:cs="宋体"/>
                <w:color w:val="auto"/>
                <w:sz w:val="24"/>
                <w:szCs w:val="24"/>
                <w:highlight w:val="none"/>
              </w:rPr>
              <w:t>分</w:t>
            </w:r>
            <w:r>
              <w:rPr>
                <w:rFonts w:hint="eastAsia" w:hAnsi="宋体" w:cs="宋体"/>
                <w:color w:val="auto"/>
                <w:sz w:val="24"/>
                <w:szCs w:val="24"/>
                <w:highlight w:val="none"/>
                <w:lang w:eastAsia="zh-CN"/>
              </w:rPr>
              <w:t>，</w:t>
            </w:r>
            <w:r>
              <w:rPr>
                <w:rFonts w:hint="eastAsia" w:hAnsi="宋体" w:cs="宋体"/>
                <w:strike w:val="0"/>
                <w:dstrike w:val="0"/>
                <w:color w:val="auto"/>
                <w:sz w:val="24"/>
                <w:szCs w:val="24"/>
                <w:highlight w:val="none"/>
                <w:lang w:val="en-US" w:eastAsia="zh-CN"/>
              </w:rPr>
              <w:t>最高得</w:t>
            </w:r>
            <w:r>
              <w:rPr>
                <w:rFonts w:hint="eastAsia" w:hAnsi="宋体" w:cs="宋体"/>
                <w:color w:val="auto"/>
                <w:sz w:val="24"/>
                <w:szCs w:val="24"/>
                <w:highlight w:val="none"/>
                <w:lang w:val="en-US" w:eastAsia="zh-CN"/>
              </w:rPr>
              <w:t>6分</w:t>
            </w:r>
            <w:r>
              <w:rPr>
                <w:rFonts w:hint="eastAsia" w:hAnsi="宋体" w:cs="宋体"/>
                <w:color w:val="auto"/>
                <w:sz w:val="24"/>
                <w:szCs w:val="24"/>
                <w:highlight w:val="none"/>
              </w:rPr>
              <w:t>；</w:t>
            </w:r>
          </w:p>
          <w:p>
            <w:pPr>
              <w:pStyle w:val="4"/>
              <w:widowControl/>
              <w:jc w:val="left"/>
              <w:rPr>
                <w:rFonts w:hAnsi="宋体" w:cs="宋体"/>
                <w:color w:val="auto"/>
                <w:sz w:val="24"/>
                <w:szCs w:val="24"/>
                <w:highlight w:val="none"/>
              </w:rPr>
            </w:pPr>
            <w:r>
              <w:rPr>
                <w:rFonts w:hint="eastAsia" w:hAnsi="宋体" w:cs="宋体"/>
                <w:color w:val="auto"/>
                <w:sz w:val="24"/>
                <w:szCs w:val="24"/>
                <w:highlight w:val="none"/>
              </w:rPr>
              <w:t>（</w:t>
            </w:r>
            <w:r>
              <w:rPr>
                <w:rFonts w:hint="eastAsia" w:hAnsi="宋体" w:cs="宋体"/>
                <w:color w:val="auto"/>
                <w:sz w:val="24"/>
                <w:szCs w:val="24"/>
                <w:highlight w:val="none"/>
                <w:lang w:val="en-US" w:eastAsia="zh-CN"/>
              </w:rPr>
              <w:t>2</w:t>
            </w:r>
            <w:r>
              <w:rPr>
                <w:rFonts w:hint="eastAsia" w:hAnsi="宋体" w:cs="宋体"/>
                <w:color w:val="auto"/>
                <w:sz w:val="24"/>
                <w:szCs w:val="24"/>
                <w:highlight w:val="none"/>
              </w:rPr>
              <w:t>）具有</w:t>
            </w:r>
            <w:r>
              <w:rPr>
                <w:rFonts w:hint="eastAsia" w:hAnsi="宋体" w:cs="宋体"/>
                <w:color w:val="auto"/>
                <w:sz w:val="24"/>
                <w:szCs w:val="24"/>
                <w:highlight w:val="none"/>
                <w:lang w:val="en-US" w:eastAsia="zh-CN"/>
              </w:rPr>
              <w:t>保密教育培训证书的，每个得2分，最高得4分</w:t>
            </w:r>
            <w:r>
              <w:rPr>
                <w:rFonts w:hint="eastAsia" w:hAnsi="宋体" w:cs="宋体"/>
                <w:color w:val="auto"/>
                <w:sz w:val="24"/>
                <w:szCs w:val="24"/>
                <w:highlight w:val="none"/>
              </w:rPr>
              <w:t>。</w:t>
            </w:r>
          </w:p>
          <w:p>
            <w:pPr>
              <w:pStyle w:val="4"/>
              <w:rPr>
                <w:color w:val="auto"/>
                <w:highlight w:val="none"/>
              </w:rPr>
            </w:pPr>
            <w:r>
              <w:rPr>
                <w:rFonts w:hint="eastAsia" w:hAnsi="宋体" w:cs="宋体"/>
                <w:b/>
                <w:bCs/>
                <w:color w:val="auto"/>
                <w:sz w:val="24"/>
                <w:szCs w:val="24"/>
                <w:highlight w:val="none"/>
              </w:rPr>
              <w:t>注：</w:t>
            </w:r>
            <w:r>
              <w:rPr>
                <w:rFonts w:hint="eastAsia" w:hAnsi="宋体" w:cs="宋体"/>
                <w:b w:val="0"/>
                <w:bCs w:val="0"/>
                <w:color w:val="auto"/>
                <w:sz w:val="24"/>
                <w:szCs w:val="24"/>
                <w:highlight w:val="none"/>
              </w:rPr>
              <w:t>投标文件中需提供上述证书</w:t>
            </w:r>
            <w:r>
              <w:rPr>
                <w:rFonts w:hint="eastAsia" w:hAnsi="宋体" w:cs="宋体"/>
                <w:b w:val="0"/>
                <w:bCs w:val="0"/>
                <w:color w:val="auto"/>
                <w:sz w:val="24"/>
                <w:szCs w:val="24"/>
                <w:highlight w:val="none"/>
                <w:lang w:val="en-US" w:eastAsia="zh-CN"/>
              </w:rPr>
              <w:t>及</w:t>
            </w:r>
            <w:r>
              <w:rPr>
                <w:rFonts w:hint="eastAsia" w:hAnsi="宋体" w:cs="宋体"/>
                <w:color w:val="auto"/>
                <w:sz w:val="24"/>
                <w:highlight w:val="none"/>
                <w:lang w:val="en-US" w:eastAsia="zh-CN"/>
              </w:rPr>
              <w:t>投标文件截止之日前三个月内任意一个月</w:t>
            </w:r>
            <w:r>
              <w:rPr>
                <w:rFonts w:hint="eastAsia" w:hAnsi="宋体" w:cs="宋体"/>
                <w:b w:val="0"/>
                <w:bCs w:val="0"/>
                <w:color w:val="auto"/>
                <w:sz w:val="24"/>
                <w:szCs w:val="24"/>
                <w:highlight w:val="none"/>
              </w:rPr>
              <w:t>为上述人员购买社保的证明材料，上述资料提供复印件加盖投标人公章。</w:t>
            </w:r>
          </w:p>
        </w:tc>
        <w:tc>
          <w:tcPr>
            <w:tcW w:w="850" w:type="dxa"/>
            <w:vAlign w:val="center"/>
          </w:tcPr>
          <w:p>
            <w:pPr>
              <w:widowControl/>
              <w:jc w:val="center"/>
              <w:rPr>
                <w:rFonts w:hint="eastAsia" w:ascii="宋体" w:hAnsi="宋体" w:cs="宋体"/>
                <w:color w:val="auto"/>
                <w:sz w:val="24"/>
                <w:highlight w:val="none"/>
              </w:rPr>
            </w:pPr>
            <w:r>
              <w:rPr>
                <w:rFonts w:hint="eastAsia" w:ascii="宋体" w:hAnsi="宋体" w:cs="宋体"/>
                <w:color w:val="auto"/>
                <w:sz w:val="24"/>
                <w:highlight w:val="none"/>
                <w:lang w:val="en-US" w:eastAsia="zh-CN"/>
              </w:rPr>
              <w:t>20</w:t>
            </w:r>
            <w:r>
              <w:rPr>
                <w:rFonts w:hint="eastAsia" w:ascii="宋体" w:hAnsi="宋体" w:cs="宋体"/>
                <w:color w:val="auto"/>
                <w:sz w:val="24"/>
                <w:highlight w:val="none"/>
              </w:rPr>
              <w:t>分</w:t>
            </w:r>
          </w:p>
          <w:p>
            <w:pPr>
              <w:pStyle w:val="3"/>
              <w:rPr>
                <w:rFonts w:hint="eastAsia" w:ascii="宋体" w:hAnsi="宋体" w:cs="宋体"/>
                <w:color w:val="auto"/>
                <w:sz w:val="24"/>
                <w:highlight w:val="none"/>
              </w:rPr>
            </w:pPr>
          </w:p>
          <w:p>
            <w:pPr>
              <w:rPr>
                <w:rFonts w:hint="eastAsia" w:ascii="宋体" w:hAnsi="宋体" w:cs="宋体"/>
                <w:color w:val="auto"/>
                <w:sz w:val="24"/>
                <w:highlight w:val="none"/>
              </w:rPr>
            </w:pPr>
          </w:p>
          <w:p>
            <w:pPr>
              <w:rPr>
                <w:rFonts w:hint="default" w:eastAsia="宋体"/>
                <w:color w:val="auto"/>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25" w:hRule="atLeast"/>
        </w:trPr>
        <w:tc>
          <w:tcPr>
            <w:tcW w:w="810" w:type="dxa"/>
            <w:vMerge w:val="continue"/>
            <w:vAlign w:val="center"/>
          </w:tcPr>
          <w:p>
            <w:pPr>
              <w:rPr>
                <w:rFonts w:ascii="宋体"/>
                <w:color w:val="auto"/>
                <w:sz w:val="24"/>
                <w:highlight w:val="none"/>
              </w:rPr>
            </w:pPr>
          </w:p>
        </w:tc>
        <w:tc>
          <w:tcPr>
            <w:tcW w:w="1515" w:type="dxa"/>
            <w:vAlign w:val="center"/>
          </w:tcPr>
          <w:p>
            <w:pPr>
              <w:widowControl/>
              <w:jc w:val="center"/>
              <w:rPr>
                <w:rFonts w:ascii="宋体"/>
                <w:b/>
                <w:color w:val="auto"/>
                <w:sz w:val="24"/>
                <w:highlight w:val="none"/>
              </w:rPr>
            </w:pPr>
            <w:r>
              <w:rPr>
                <w:rFonts w:hint="eastAsia" w:ascii="宋体"/>
                <w:b/>
                <w:color w:val="auto"/>
                <w:sz w:val="24"/>
                <w:highlight w:val="none"/>
              </w:rPr>
              <w:t>企业业绩</w:t>
            </w:r>
          </w:p>
        </w:tc>
        <w:tc>
          <w:tcPr>
            <w:tcW w:w="6946" w:type="dxa"/>
            <w:vAlign w:val="center"/>
          </w:tcPr>
          <w:p>
            <w:pPr>
              <w:spacing w:line="400" w:lineRule="exact"/>
              <w:ind w:firstLine="480" w:firstLineChars="200"/>
              <w:jc w:val="left"/>
              <w:rPr>
                <w:rFonts w:ascii="宋体"/>
                <w:color w:val="auto"/>
                <w:sz w:val="24"/>
                <w:highlight w:val="none"/>
              </w:rPr>
            </w:pPr>
            <w:r>
              <w:rPr>
                <w:rFonts w:hint="eastAsia" w:ascii="宋体" w:hAnsi="宋体"/>
                <w:color w:val="auto"/>
                <w:sz w:val="24"/>
                <w:highlight w:val="none"/>
              </w:rPr>
              <w:t>投标人</w:t>
            </w:r>
            <w:r>
              <w:rPr>
                <w:rFonts w:ascii="宋体" w:hAnsi="宋体"/>
                <w:color w:val="auto"/>
                <w:sz w:val="24"/>
                <w:highlight w:val="none"/>
              </w:rPr>
              <w:t>20</w:t>
            </w:r>
            <w:r>
              <w:rPr>
                <w:rFonts w:hint="eastAsia" w:ascii="宋体" w:hAnsi="宋体"/>
                <w:color w:val="auto"/>
                <w:sz w:val="24"/>
                <w:highlight w:val="none"/>
              </w:rPr>
              <w:t>21年</w:t>
            </w:r>
            <w:r>
              <w:rPr>
                <w:rFonts w:ascii="宋体" w:hAnsi="宋体"/>
                <w:color w:val="auto"/>
                <w:sz w:val="24"/>
                <w:highlight w:val="none"/>
              </w:rPr>
              <w:t>1</w:t>
            </w:r>
            <w:r>
              <w:rPr>
                <w:rFonts w:hint="eastAsia" w:ascii="宋体" w:hAnsi="宋体"/>
                <w:color w:val="auto"/>
                <w:sz w:val="24"/>
                <w:highlight w:val="none"/>
              </w:rPr>
              <w:t>月</w:t>
            </w:r>
            <w:r>
              <w:rPr>
                <w:rFonts w:ascii="宋体" w:hAnsi="宋体"/>
                <w:color w:val="auto"/>
                <w:sz w:val="24"/>
                <w:highlight w:val="none"/>
              </w:rPr>
              <w:t>1</w:t>
            </w:r>
            <w:r>
              <w:rPr>
                <w:rFonts w:hint="eastAsia" w:ascii="宋体" w:hAnsi="宋体"/>
                <w:color w:val="auto"/>
                <w:sz w:val="24"/>
                <w:highlight w:val="none"/>
              </w:rPr>
              <w:t>日至截止开标时间前（以合同签订时间为准）提供</w:t>
            </w:r>
            <w:r>
              <w:rPr>
                <w:rFonts w:hint="eastAsia" w:ascii="宋体"/>
                <w:color w:val="auto"/>
                <w:sz w:val="24"/>
                <w:highlight w:val="none"/>
              </w:rPr>
              <w:t>同类项目业绩，每个得</w:t>
            </w:r>
            <w:r>
              <w:rPr>
                <w:rFonts w:ascii="宋体"/>
                <w:color w:val="auto"/>
                <w:sz w:val="24"/>
                <w:highlight w:val="none"/>
              </w:rPr>
              <w:t>2</w:t>
            </w:r>
            <w:r>
              <w:rPr>
                <w:rFonts w:hint="eastAsia" w:ascii="宋体"/>
                <w:color w:val="auto"/>
                <w:sz w:val="24"/>
                <w:highlight w:val="none"/>
              </w:rPr>
              <w:t>分，最高得1</w:t>
            </w:r>
            <w:r>
              <w:rPr>
                <w:rFonts w:hint="eastAsia" w:ascii="宋体"/>
                <w:color w:val="auto"/>
                <w:sz w:val="24"/>
                <w:highlight w:val="none"/>
                <w:lang w:val="en-US" w:eastAsia="zh-CN"/>
              </w:rPr>
              <w:t>0</w:t>
            </w:r>
            <w:r>
              <w:rPr>
                <w:rFonts w:hint="eastAsia" w:ascii="宋体"/>
                <w:color w:val="auto"/>
                <w:sz w:val="24"/>
                <w:highlight w:val="none"/>
              </w:rPr>
              <w:t>分。（提供合同扫描件</w:t>
            </w:r>
            <w:r>
              <w:rPr>
                <w:rFonts w:hint="eastAsia" w:ascii="宋体"/>
                <w:color w:val="auto"/>
                <w:sz w:val="24"/>
                <w:highlight w:val="none"/>
                <w:lang w:val="en-US" w:eastAsia="zh-CN"/>
              </w:rPr>
              <w:t>并</w:t>
            </w:r>
            <w:r>
              <w:rPr>
                <w:rFonts w:hint="eastAsia" w:ascii="宋体"/>
                <w:color w:val="auto"/>
                <w:sz w:val="24"/>
                <w:highlight w:val="none"/>
              </w:rPr>
              <w:t>加盖投标人公章，否则不得分）。</w:t>
            </w:r>
          </w:p>
        </w:tc>
        <w:tc>
          <w:tcPr>
            <w:tcW w:w="850" w:type="dxa"/>
            <w:vAlign w:val="center"/>
          </w:tcPr>
          <w:p>
            <w:pPr>
              <w:widowControl/>
              <w:jc w:val="center"/>
              <w:rPr>
                <w:rFonts w:hint="eastAsia" w:ascii="宋体" w:hAnsi="宋体"/>
                <w:color w:val="auto"/>
                <w:kern w:val="0"/>
                <w:sz w:val="24"/>
                <w:highlight w:val="none"/>
              </w:rPr>
            </w:pPr>
            <w:r>
              <w:rPr>
                <w:rFonts w:hint="eastAsia" w:ascii="宋体" w:hAnsi="宋体"/>
                <w:color w:val="auto"/>
                <w:kern w:val="0"/>
                <w:sz w:val="24"/>
                <w:highlight w:val="none"/>
              </w:rPr>
              <w:t>1</w:t>
            </w:r>
            <w:r>
              <w:rPr>
                <w:rFonts w:hint="eastAsia" w:ascii="宋体" w:hAnsi="宋体"/>
                <w:color w:val="auto"/>
                <w:kern w:val="0"/>
                <w:sz w:val="24"/>
                <w:highlight w:val="none"/>
                <w:lang w:val="en-US" w:eastAsia="zh-CN"/>
              </w:rPr>
              <w:t>0</w:t>
            </w:r>
            <w:r>
              <w:rPr>
                <w:rFonts w:hint="eastAsia" w:ascii="宋体" w:hAnsi="宋体"/>
                <w:color w:val="auto"/>
                <w:kern w:val="0"/>
                <w:sz w:val="24"/>
                <w:highlight w:val="none"/>
              </w:rPr>
              <w:t>分</w:t>
            </w:r>
          </w:p>
          <w:p>
            <w:pPr>
              <w:widowControl/>
              <w:jc w:val="center"/>
              <w:rPr>
                <w:rFonts w:hint="eastAsia" w:ascii="宋体" w:hAnsi="宋体" w:eastAsia="宋体"/>
                <w:color w:val="auto"/>
                <w:kern w:val="0"/>
                <w:sz w:val="24"/>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62" w:hRule="atLeast"/>
        </w:trPr>
        <w:tc>
          <w:tcPr>
            <w:tcW w:w="810" w:type="dxa"/>
            <w:vMerge w:val="continue"/>
            <w:vAlign w:val="center"/>
          </w:tcPr>
          <w:p>
            <w:pPr>
              <w:rPr>
                <w:rFonts w:ascii="宋体"/>
                <w:color w:val="auto"/>
                <w:sz w:val="24"/>
                <w:highlight w:val="none"/>
              </w:rPr>
            </w:pPr>
          </w:p>
        </w:tc>
        <w:tc>
          <w:tcPr>
            <w:tcW w:w="1515" w:type="dxa"/>
            <w:vAlign w:val="center"/>
          </w:tcPr>
          <w:p>
            <w:pPr>
              <w:widowControl/>
              <w:jc w:val="center"/>
              <w:rPr>
                <w:rFonts w:hAnsi="宋体"/>
                <w:b/>
                <w:bCs/>
                <w:color w:val="auto"/>
                <w:sz w:val="24"/>
                <w:highlight w:val="none"/>
              </w:rPr>
            </w:pPr>
            <w:r>
              <w:rPr>
                <w:rFonts w:hint="eastAsia" w:hAnsi="宋体"/>
                <w:b/>
                <w:bCs/>
                <w:color w:val="auto"/>
                <w:sz w:val="24"/>
                <w:highlight w:val="none"/>
              </w:rPr>
              <w:t>综合实力</w:t>
            </w:r>
          </w:p>
          <w:p>
            <w:pPr>
              <w:widowControl/>
              <w:jc w:val="center"/>
              <w:rPr>
                <w:rFonts w:ascii="宋体" w:cs="宋体"/>
                <w:color w:val="auto"/>
                <w:kern w:val="0"/>
                <w:sz w:val="24"/>
                <w:highlight w:val="none"/>
              </w:rPr>
            </w:pPr>
          </w:p>
        </w:tc>
        <w:tc>
          <w:tcPr>
            <w:tcW w:w="6946" w:type="dxa"/>
            <w:vAlign w:val="center"/>
          </w:tcPr>
          <w:p>
            <w:pPr>
              <w:spacing w:line="400" w:lineRule="exact"/>
              <w:ind w:firstLine="480" w:firstLineChars="200"/>
              <w:jc w:val="left"/>
              <w:rPr>
                <w:b/>
                <w:bCs/>
                <w:color w:val="auto"/>
                <w:sz w:val="24"/>
                <w:highlight w:val="none"/>
              </w:rPr>
            </w:pPr>
            <w:r>
              <w:rPr>
                <w:rFonts w:hint="eastAsia"/>
                <w:color w:val="auto"/>
                <w:sz w:val="24"/>
                <w:highlight w:val="none"/>
              </w:rPr>
              <w:t>投标人承建的档案相关项目获得</w:t>
            </w:r>
            <w:r>
              <w:rPr>
                <w:rFonts w:hint="eastAsia"/>
                <w:b/>
                <w:bCs/>
                <w:color w:val="auto"/>
                <w:sz w:val="24"/>
                <w:highlight w:val="none"/>
              </w:rPr>
              <w:t>市级或以上</w:t>
            </w:r>
            <w:r>
              <w:rPr>
                <w:rFonts w:hint="eastAsia"/>
                <w:b/>
                <w:bCs/>
                <w:color w:val="auto"/>
                <w:sz w:val="24"/>
                <w:highlight w:val="none"/>
                <w:lang w:val="en-US" w:eastAsia="zh-CN"/>
              </w:rPr>
              <w:t>档案行政部门颁发的</w:t>
            </w:r>
            <w:r>
              <w:rPr>
                <w:rFonts w:hint="eastAsia"/>
                <w:b/>
                <w:bCs/>
                <w:color w:val="auto"/>
                <w:sz w:val="24"/>
                <w:highlight w:val="none"/>
              </w:rPr>
              <w:t>奖</w:t>
            </w:r>
            <w:r>
              <w:rPr>
                <w:rFonts w:hint="eastAsia"/>
                <w:b/>
                <w:bCs/>
                <w:color w:val="auto"/>
                <w:sz w:val="24"/>
                <w:highlight w:val="none"/>
                <w:lang w:val="en-US" w:eastAsia="zh-CN"/>
              </w:rPr>
              <w:t>项</w:t>
            </w:r>
            <w:r>
              <w:rPr>
                <w:rFonts w:hint="eastAsia"/>
                <w:b/>
                <w:bCs/>
                <w:color w:val="auto"/>
                <w:sz w:val="24"/>
                <w:highlight w:val="none"/>
              </w:rPr>
              <w:t>，每个</w:t>
            </w:r>
            <w:r>
              <w:rPr>
                <w:rFonts w:hint="eastAsia"/>
                <w:b/>
                <w:bCs/>
                <w:color w:val="auto"/>
                <w:sz w:val="24"/>
                <w:highlight w:val="none"/>
                <w:lang w:val="en-US" w:eastAsia="zh-CN"/>
              </w:rPr>
              <w:t>项目</w:t>
            </w:r>
            <w:r>
              <w:rPr>
                <w:rFonts w:hint="eastAsia"/>
                <w:b/>
                <w:bCs/>
                <w:color w:val="auto"/>
                <w:sz w:val="24"/>
                <w:highlight w:val="none"/>
              </w:rPr>
              <w:t>得2分，最高得</w:t>
            </w:r>
            <w:r>
              <w:rPr>
                <w:rFonts w:hint="eastAsia"/>
                <w:b/>
                <w:bCs/>
                <w:color w:val="auto"/>
                <w:sz w:val="24"/>
                <w:highlight w:val="none"/>
                <w:lang w:val="en-US" w:eastAsia="zh-CN"/>
              </w:rPr>
              <w:t>10</w:t>
            </w:r>
            <w:r>
              <w:rPr>
                <w:rFonts w:hint="eastAsia"/>
                <w:b/>
                <w:bCs/>
                <w:color w:val="auto"/>
                <w:sz w:val="24"/>
                <w:highlight w:val="none"/>
              </w:rPr>
              <w:t>分；</w:t>
            </w:r>
          </w:p>
          <w:p>
            <w:pPr>
              <w:spacing w:line="400" w:lineRule="exact"/>
              <w:ind w:firstLine="480" w:firstLineChars="200"/>
              <w:jc w:val="left"/>
              <w:rPr>
                <w:color w:val="auto"/>
                <w:highlight w:val="none"/>
              </w:rPr>
            </w:pPr>
            <w:r>
              <w:rPr>
                <w:rFonts w:hint="eastAsia"/>
                <w:color w:val="auto"/>
                <w:sz w:val="24"/>
                <w:highlight w:val="none"/>
              </w:rPr>
              <w:t>注：提供</w:t>
            </w:r>
            <w:r>
              <w:rPr>
                <w:rFonts w:hint="eastAsia"/>
                <w:color w:val="auto"/>
                <w:sz w:val="24"/>
                <w:highlight w:val="none"/>
                <w:lang w:val="en-US" w:eastAsia="zh-CN"/>
              </w:rPr>
              <w:t>获奖项目合同和</w:t>
            </w:r>
            <w:r>
              <w:rPr>
                <w:rFonts w:hint="eastAsia"/>
                <w:color w:val="auto"/>
                <w:sz w:val="24"/>
                <w:highlight w:val="none"/>
              </w:rPr>
              <w:t>证</w:t>
            </w:r>
            <w:r>
              <w:rPr>
                <w:rFonts w:hint="eastAsia"/>
                <w:color w:val="auto"/>
                <w:sz w:val="24"/>
                <w:highlight w:val="none"/>
                <w:lang w:val="en-US" w:eastAsia="zh-CN"/>
              </w:rPr>
              <w:t>明文件复印</w:t>
            </w:r>
            <w:r>
              <w:rPr>
                <w:rFonts w:hint="eastAsia"/>
                <w:color w:val="auto"/>
                <w:sz w:val="24"/>
                <w:highlight w:val="none"/>
              </w:rPr>
              <w:t>件并加盖公章，否则不得分。</w:t>
            </w:r>
          </w:p>
        </w:tc>
        <w:tc>
          <w:tcPr>
            <w:tcW w:w="850" w:type="dxa"/>
            <w:vAlign w:val="center"/>
          </w:tcPr>
          <w:p>
            <w:pPr>
              <w:widowControl/>
              <w:jc w:val="both"/>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分</w:t>
            </w:r>
          </w:p>
          <w:p>
            <w:pPr>
              <w:pStyle w:val="3"/>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62" w:hRule="atLeast"/>
        </w:trPr>
        <w:tc>
          <w:tcPr>
            <w:tcW w:w="2325" w:type="dxa"/>
            <w:gridSpan w:val="2"/>
            <w:vAlign w:val="center"/>
          </w:tcPr>
          <w:p>
            <w:pPr>
              <w:widowControl/>
              <w:jc w:val="center"/>
              <w:rPr>
                <w:rFonts w:ascii="宋体" w:cs="宋体"/>
                <w:b/>
                <w:color w:val="auto"/>
                <w:kern w:val="0"/>
                <w:sz w:val="24"/>
                <w:highlight w:val="none"/>
              </w:rPr>
            </w:pPr>
            <w:r>
              <w:rPr>
                <w:rFonts w:hint="eastAsia" w:ascii="宋体" w:hAnsi="宋体" w:cs="宋体"/>
                <w:b/>
                <w:color w:val="auto"/>
                <w:kern w:val="0"/>
                <w:sz w:val="24"/>
                <w:highlight w:val="none"/>
              </w:rPr>
              <w:t>经济价格</w:t>
            </w:r>
          </w:p>
        </w:tc>
        <w:tc>
          <w:tcPr>
            <w:tcW w:w="6946" w:type="dxa"/>
            <w:vAlign w:val="bottom"/>
          </w:tcPr>
          <w:p>
            <w:pPr>
              <w:spacing w:line="400" w:lineRule="exact"/>
              <w:ind w:firstLine="480" w:firstLineChars="200"/>
              <w:jc w:val="left"/>
              <w:rPr>
                <w:color w:val="auto"/>
                <w:sz w:val="24"/>
                <w:highlight w:val="none"/>
              </w:rPr>
            </w:pPr>
            <w:r>
              <w:rPr>
                <w:rFonts w:hint="eastAsia"/>
                <w:color w:val="auto"/>
                <w:sz w:val="24"/>
                <w:highlight w:val="none"/>
              </w:rPr>
              <w:t>经济价格标得分=(评标基准价/</w:t>
            </w:r>
            <w:r>
              <w:rPr>
                <w:rFonts w:hint="eastAsia" w:ascii="Times New Roman" w:hAnsi="Times New Roman" w:eastAsia="宋体" w:cs="Times New Roman"/>
                <w:color w:val="auto"/>
                <w:sz w:val="24"/>
                <w:szCs w:val="24"/>
                <w:highlight w:val="none"/>
              </w:rPr>
              <w:t>评标价</w:t>
            </w:r>
            <w:r>
              <w:rPr>
                <w:rFonts w:hint="eastAsia"/>
                <w:color w:val="auto"/>
                <w:sz w:val="24"/>
                <w:highlight w:val="none"/>
              </w:rPr>
              <w:t>)×10%×100</w:t>
            </w:r>
          </w:p>
          <w:p>
            <w:pPr>
              <w:spacing w:line="400" w:lineRule="exact"/>
              <w:ind w:firstLine="480" w:firstLineChars="200"/>
              <w:jc w:val="left"/>
              <w:rPr>
                <w:rFonts w:ascii="宋体" w:cs="宋体"/>
                <w:color w:val="auto"/>
                <w:kern w:val="0"/>
                <w:sz w:val="24"/>
                <w:highlight w:val="none"/>
              </w:rPr>
            </w:pPr>
            <w:r>
              <w:rPr>
                <w:rFonts w:hint="eastAsia"/>
                <w:color w:val="auto"/>
                <w:sz w:val="24"/>
                <w:highlight w:val="none"/>
              </w:rPr>
              <w:t>上述公式中的“评标基准价”是指满足项目需求书要求的最低评标价，其价格得分为满分。评标价为在报价基础上作算术修正后的价格，无算术修正情况下，报价即为评标价。</w:t>
            </w:r>
          </w:p>
        </w:tc>
        <w:tc>
          <w:tcPr>
            <w:tcW w:w="850" w:type="dxa"/>
            <w:vAlign w:val="center"/>
          </w:tcPr>
          <w:p>
            <w:pPr>
              <w:widowControl/>
              <w:jc w:val="center"/>
              <w:rPr>
                <w:rFonts w:ascii="宋体" w:cs="宋体"/>
                <w:color w:val="auto"/>
                <w:kern w:val="0"/>
                <w:sz w:val="24"/>
                <w:highlight w:val="none"/>
              </w:rPr>
            </w:pPr>
            <w:r>
              <w:rPr>
                <w:rFonts w:hint="eastAsia" w:ascii="宋体" w:hAnsi="宋体" w:cs="宋体"/>
                <w:color w:val="auto"/>
                <w:kern w:val="0"/>
                <w:sz w:val="24"/>
                <w:highlight w:val="none"/>
              </w:rPr>
              <w:t>10分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862" w:hRule="atLeast"/>
        </w:trPr>
        <w:tc>
          <w:tcPr>
            <w:tcW w:w="9271" w:type="dxa"/>
            <w:gridSpan w:val="3"/>
            <w:vAlign w:val="center"/>
          </w:tcPr>
          <w:p>
            <w:pPr>
              <w:widowControl/>
              <w:ind w:firstLine="482" w:firstLineChars="200"/>
              <w:jc w:val="center"/>
              <w:rPr>
                <w:rFonts w:ascii="宋体" w:hAnsi="宋体"/>
                <w:color w:val="auto"/>
                <w:sz w:val="24"/>
                <w:highlight w:val="none"/>
              </w:rPr>
            </w:pPr>
            <w:r>
              <w:rPr>
                <w:rFonts w:hint="eastAsia" w:ascii="宋体" w:hAnsi="宋体" w:cs="宋体"/>
                <w:b/>
                <w:color w:val="auto"/>
                <w:kern w:val="0"/>
                <w:sz w:val="24"/>
                <w:highlight w:val="none"/>
              </w:rPr>
              <w:t>合计</w:t>
            </w:r>
          </w:p>
        </w:tc>
        <w:tc>
          <w:tcPr>
            <w:tcW w:w="850" w:type="dxa"/>
            <w:vAlign w:val="center"/>
          </w:tcPr>
          <w:p>
            <w:pPr>
              <w:widowControl/>
              <w:jc w:val="center"/>
              <w:rPr>
                <w:rFonts w:ascii="宋体" w:hAnsi="宋体" w:cs="宋体"/>
                <w:color w:val="auto"/>
                <w:kern w:val="0"/>
                <w:sz w:val="24"/>
                <w:highlight w:val="none"/>
              </w:rPr>
            </w:pPr>
            <w:r>
              <w:rPr>
                <w:rFonts w:hint="eastAsia" w:ascii="宋体" w:hAnsi="宋体" w:cs="宋体"/>
                <w:b/>
                <w:color w:val="auto"/>
                <w:kern w:val="0"/>
                <w:sz w:val="24"/>
                <w:highlight w:val="none"/>
              </w:rPr>
              <w:t>100分</w:t>
            </w:r>
          </w:p>
        </w:tc>
      </w:tr>
    </w:tbl>
    <w:p>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948FFF72-E393-4165-A0A1-A8AFBB7F0484}"/>
  </w:font>
  <w:font w:name="方正小标宋简体">
    <w:panose1 w:val="03000509000000000000"/>
    <w:charset w:val="86"/>
    <w:family w:val="script"/>
    <w:pitch w:val="default"/>
    <w:sig w:usb0="00000001" w:usb1="080E0000" w:usb2="00000000" w:usb3="00000000" w:csb0="00040000" w:csb1="00000000"/>
    <w:embedRegular r:id="rId2" w:fontKey="{EE680826-CA5A-45E7-B40B-A2A2FA1E7AB4}"/>
  </w:font>
  <w:font w:name="仿宋">
    <w:panose1 w:val="02010609060101010101"/>
    <w:charset w:val="86"/>
    <w:family w:val="auto"/>
    <w:pitch w:val="default"/>
    <w:sig w:usb0="800002BF" w:usb1="38CF7CFA" w:usb2="00000016" w:usb3="00000000" w:csb0="00040001" w:csb1="00000000"/>
    <w:embedRegular r:id="rId3" w:fontKey="{2E44A5B3-5AC7-45CF-B596-373626478C28}"/>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DD9AB7"/>
    <w:multiLevelType w:val="singleLevel"/>
    <w:tmpl w:val="80DD9AB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ZGQ5ZWQ1MmJhMGZkNmYwMjg3MjM4MGI4MGE3YjQifQ=="/>
  </w:docVars>
  <w:rsids>
    <w:rsidRoot w:val="003E1BC6"/>
    <w:rsid w:val="0003128E"/>
    <w:rsid w:val="0009042A"/>
    <w:rsid w:val="0028314E"/>
    <w:rsid w:val="002B54BD"/>
    <w:rsid w:val="002E2BD5"/>
    <w:rsid w:val="00337B89"/>
    <w:rsid w:val="003E1BC6"/>
    <w:rsid w:val="006B35A9"/>
    <w:rsid w:val="00895A90"/>
    <w:rsid w:val="00AA0807"/>
    <w:rsid w:val="00C700A0"/>
    <w:rsid w:val="00E03349"/>
    <w:rsid w:val="00E644AA"/>
    <w:rsid w:val="00E7485E"/>
    <w:rsid w:val="00E93D2B"/>
    <w:rsid w:val="00EE26C3"/>
    <w:rsid w:val="00F95587"/>
    <w:rsid w:val="00FA6FC3"/>
    <w:rsid w:val="02B372B1"/>
    <w:rsid w:val="02BC028B"/>
    <w:rsid w:val="043A4B29"/>
    <w:rsid w:val="04493DC0"/>
    <w:rsid w:val="04C94AE8"/>
    <w:rsid w:val="0609518E"/>
    <w:rsid w:val="0719073F"/>
    <w:rsid w:val="07D337E6"/>
    <w:rsid w:val="084F532E"/>
    <w:rsid w:val="0A00720C"/>
    <w:rsid w:val="0A840B51"/>
    <w:rsid w:val="0B3F6E6A"/>
    <w:rsid w:val="0C3436F1"/>
    <w:rsid w:val="0C4B01DE"/>
    <w:rsid w:val="0D1809B4"/>
    <w:rsid w:val="0D643714"/>
    <w:rsid w:val="0E101ECB"/>
    <w:rsid w:val="0FEC310E"/>
    <w:rsid w:val="10701B06"/>
    <w:rsid w:val="10E82A49"/>
    <w:rsid w:val="11C52F37"/>
    <w:rsid w:val="132C2AD0"/>
    <w:rsid w:val="14B16081"/>
    <w:rsid w:val="153347AD"/>
    <w:rsid w:val="167C35DD"/>
    <w:rsid w:val="184A22E6"/>
    <w:rsid w:val="18E24DE3"/>
    <w:rsid w:val="1B895FBB"/>
    <w:rsid w:val="1BA30965"/>
    <w:rsid w:val="1BF44AA8"/>
    <w:rsid w:val="1D8D0B65"/>
    <w:rsid w:val="1E0F4A61"/>
    <w:rsid w:val="1E547AF5"/>
    <w:rsid w:val="1F3C1C4F"/>
    <w:rsid w:val="1FE203E6"/>
    <w:rsid w:val="22F07AE2"/>
    <w:rsid w:val="240D4A36"/>
    <w:rsid w:val="24301D62"/>
    <w:rsid w:val="260F5480"/>
    <w:rsid w:val="27B21204"/>
    <w:rsid w:val="27E1537C"/>
    <w:rsid w:val="29522B80"/>
    <w:rsid w:val="29E27D80"/>
    <w:rsid w:val="2B8227E6"/>
    <w:rsid w:val="2C2446C9"/>
    <w:rsid w:val="2C351D6B"/>
    <w:rsid w:val="2C355BEC"/>
    <w:rsid w:val="2C4F2D00"/>
    <w:rsid w:val="2E16582B"/>
    <w:rsid w:val="2E494C3A"/>
    <w:rsid w:val="2F650469"/>
    <w:rsid w:val="30351FA2"/>
    <w:rsid w:val="31467379"/>
    <w:rsid w:val="32142838"/>
    <w:rsid w:val="34344A31"/>
    <w:rsid w:val="35F86C9B"/>
    <w:rsid w:val="373F5829"/>
    <w:rsid w:val="3861258D"/>
    <w:rsid w:val="38C53251"/>
    <w:rsid w:val="3AC72CFB"/>
    <w:rsid w:val="3C224E19"/>
    <w:rsid w:val="3D6F32CB"/>
    <w:rsid w:val="3E7505FA"/>
    <w:rsid w:val="3E8D7BAE"/>
    <w:rsid w:val="400C38A3"/>
    <w:rsid w:val="40B3552A"/>
    <w:rsid w:val="41905C1D"/>
    <w:rsid w:val="41B8730F"/>
    <w:rsid w:val="42F2590F"/>
    <w:rsid w:val="42FD3BF5"/>
    <w:rsid w:val="4389705D"/>
    <w:rsid w:val="455C6BD8"/>
    <w:rsid w:val="48BA78DE"/>
    <w:rsid w:val="49BF3909"/>
    <w:rsid w:val="4A1037A4"/>
    <w:rsid w:val="4A1F4C27"/>
    <w:rsid w:val="4BEA2F99"/>
    <w:rsid w:val="4C022BD4"/>
    <w:rsid w:val="4C421AD5"/>
    <w:rsid w:val="4CB9236D"/>
    <w:rsid w:val="4D1304F3"/>
    <w:rsid w:val="4DBB5413"/>
    <w:rsid w:val="4EC77ECE"/>
    <w:rsid w:val="50C15018"/>
    <w:rsid w:val="50E147A9"/>
    <w:rsid w:val="54E0147B"/>
    <w:rsid w:val="554738F5"/>
    <w:rsid w:val="55DF63F2"/>
    <w:rsid w:val="563B5CFE"/>
    <w:rsid w:val="5ADC5520"/>
    <w:rsid w:val="5DF43534"/>
    <w:rsid w:val="5E1901E8"/>
    <w:rsid w:val="5F0F7504"/>
    <w:rsid w:val="5F7217A7"/>
    <w:rsid w:val="60733548"/>
    <w:rsid w:val="609E13D9"/>
    <w:rsid w:val="611D52B9"/>
    <w:rsid w:val="62743F92"/>
    <w:rsid w:val="62A17620"/>
    <w:rsid w:val="640A778A"/>
    <w:rsid w:val="64F83009"/>
    <w:rsid w:val="653A5A1F"/>
    <w:rsid w:val="67414139"/>
    <w:rsid w:val="67477040"/>
    <w:rsid w:val="67737C48"/>
    <w:rsid w:val="68B74A5D"/>
    <w:rsid w:val="691E30AE"/>
    <w:rsid w:val="6D3D73C4"/>
    <w:rsid w:val="6EA64798"/>
    <w:rsid w:val="6F7B45F0"/>
    <w:rsid w:val="702B429A"/>
    <w:rsid w:val="7198256C"/>
    <w:rsid w:val="72CD12E4"/>
    <w:rsid w:val="72D02269"/>
    <w:rsid w:val="74707796"/>
    <w:rsid w:val="75AC482C"/>
    <w:rsid w:val="77342089"/>
    <w:rsid w:val="7859436A"/>
    <w:rsid w:val="79157FF1"/>
    <w:rsid w:val="79587019"/>
    <w:rsid w:val="79A453E0"/>
    <w:rsid w:val="79DC01FD"/>
    <w:rsid w:val="7A446928"/>
    <w:rsid w:val="7ACC3AB5"/>
    <w:rsid w:val="7AF6674C"/>
    <w:rsid w:val="7C47519E"/>
    <w:rsid w:val="7F716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tabs>
        <w:tab w:val="left" w:pos="567"/>
      </w:tabs>
      <w:spacing w:before="260" w:after="260" w:line="413" w:lineRule="auto"/>
      <w:ind w:left="992" w:hanging="567"/>
      <w:outlineLvl w:val="1"/>
    </w:pPr>
    <w:rPr>
      <w:rFonts w:ascii="Arial" w:hAnsi="Arial" w:eastAsia="黑体"/>
      <w:b/>
      <w:bCs/>
      <w:kern w:val="2"/>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index 4"/>
    <w:basedOn w:val="1"/>
    <w:next w:val="1"/>
    <w:unhideWhenUsed/>
    <w:qFormat/>
    <w:uiPriority w:val="99"/>
    <w:pPr>
      <w:ind w:left="600" w:leftChars="600"/>
    </w:pPr>
    <w:rPr>
      <w:rFonts w:hint="eastAsia"/>
    </w:rPr>
  </w:style>
  <w:style w:type="paragraph" w:styleId="6">
    <w:name w:val="Plain Text"/>
    <w:basedOn w:val="1"/>
    <w:unhideWhenUsed/>
    <w:qFormat/>
    <w:uiPriority w:val="0"/>
    <w:rPr>
      <w:rFonts w:hAnsi="Courier New" w:cs="Courier New" w:asciiTheme="minorEastAsia" w:eastAsiaTheme="minorEastAsia"/>
    </w:rPr>
  </w:style>
  <w:style w:type="paragraph" w:styleId="7">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link w:val="16"/>
    <w:qFormat/>
    <w:uiPriority w:val="0"/>
    <w:pPr>
      <w:tabs>
        <w:tab w:val="center" w:pos="4153"/>
        <w:tab w:val="right" w:pos="8306"/>
      </w:tabs>
      <w:snapToGrid w:val="0"/>
      <w:jc w:val="center"/>
    </w:pPr>
    <w:rPr>
      <w:sz w:val="18"/>
      <w:szCs w:val="18"/>
    </w:rPr>
  </w:style>
  <w:style w:type="paragraph" w:styleId="10">
    <w:name w:val="toc 2"/>
    <w:basedOn w:val="1"/>
    <w:next w:val="1"/>
    <w:qFormat/>
    <w:uiPriority w:val="0"/>
    <w:pPr>
      <w:ind w:left="200" w:leftChars="200"/>
    </w:pPr>
  </w:style>
  <w:style w:type="character" w:styleId="13">
    <w:name w:val="Strong"/>
    <w:basedOn w:val="12"/>
    <w:qFormat/>
    <w:uiPriority w:val="0"/>
    <w:rPr>
      <w:b/>
    </w:rPr>
  </w:style>
  <w:style w:type="character" w:customStyle="1" w:styleId="14">
    <w:name w:val="15"/>
    <w:basedOn w:val="12"/>
    <w:qFormat/>
    <w:uiPriority w:val="0"/>
    <w:rPr>
      <w:rFonts w:hint="default" w:ascii="Times New Roman" w:hAnsi="Times New Roman" w:eastAsia="宋体" w:cs="Times New Roman"/>
    </w:rPr>
  </w:style>
  <w:style w:type="paragraph" w:customStyle="1" w:styleId="15">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6">
    <w:name w:val="页眉 字符"/>
    <w:basedOn w:val="12"/>
    <w:link w:val="9"/>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1742</Words>
  <Characters>1784</Characters>
  <Lines>17</Lines>
  <Paragraphs>4</Paragraphs>
  <TotalTime>7</TotalTime>
  <ScaleCrop>false</ScaleCrop>
  <LinksUpToDate>false</LinksUpToDate>
  <CharactersWithSpaces>1788</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2024-07-18T09:24:00Z</dcterms:created>
  <dc:creator>admin</dc:creator>
  <cp:lastModifiedBy>Jiaiaia</cp:lastModifiedBy>
  <cp:lastPrinted>2025-08-01T06:52:00Z</cp:lastPrinted>
  <dcterms:modified xsi:type="dcterms:W3CDTF">2025-09-01T09:07:53Z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B08BDBCDA8F74BE6AA5B4542169BC1F6_13</vt:lpwstr>
  </property>
  <property fmtid="{D5CDD505-2E9C-101B-9397-08002B2CF9AE}" pid="4" name="KSOTemplateDocerSaveRecord">
    <vt:lpwstr>eyJoZGlkIjoiOWIyOThlMWE4MDcxZDhlY2M2NGJjMWFhN2EwYTQ0YzkiLCJ1c2VySWQiOiIxMDE4Mzg5MjYwIn0=</vt:lpwstr>
  </property>
</Properties>
</file>