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t>评分细则</w:t>
      </w:r>
    </w:p>
    <w:p>
      <w:pPr>
        <w:pStyle w:val="5"/>
        <w:rPr>
          <w:rFonts w:hint="eastAsia"/>
          <w:color w:val="auto"/>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2240" w:leftChars="0" w:right="-313" w:rightChars="-149" w:hanging="2240" w:hangingChars="700"/>
        <w:jc w:val="left"/>
        <w:textAlignment w:val="auto"/>
        <w:outlineLvl w:val="9"/>
        <w:rPr>
          <w:rFonts w:hint="eastAsia" w:ascii="Times New Roman" w:hAnsi="Times New Roman" w:eastAsia="仿宋_GB2312" w:cs="Times New Roman"/>
          <w:b w:val="0"/>
          <w:bCs w:val="0"/>
          <w:color w:val="auto"/>
          <w:kern w:val="2"/>
          <w:sz w:val="32"/>
          <w:szCs w:val="32"/>
          <w:lang w:val="en-US" w:eastAsia="zh-CN" w:bidi="ar-SA"/>
        </w:rPr>
      </w:pPr>
      <w:r>
        <w:rPr>
          <w:rFonts w:hint="eastAsia" w:ascii="黑体" w:hAnsi="黑体" w:eastAsia="黑体" w:cs="黑体"/>
          <w:bCs w:val="0"/>
          <w:color w:val="auto"/>
          <w:sz w:val="32"/>
          <w:szCs w:val="32"/>
          <w:lang w:val="en-US" w:eastAsia="zh-CN"/>
        </w:rPr>
        <w:t>一、</w:t>
      </w:r>
      <w:r>
        <w:rPr>
          <w:rFonts w:hint="eastAsia" w:ascii="黑体" w:hAnsi="黑体" w:eastAsia="黑体" w:cs="黑体"/>
          <w:bCs w:val="0"/>
          <w:color w:val="auto"/>
          <w:sz w:val="32"/>
          <w:szCs w:val="32"/>
          <w:lang w:eastAsia="zh-CN"/>
        </w:rPr>
        <w:t>项目名称：</w:t>
      </w:r>
      <w:r>
        <w:rPr>
          <w:rFonts w:hint="eastAsia" w:ascii="Times New Roman" w:hAnsi="Times New Roman" w:eastAsia="仿宋_GB2312" w:cs="Times New Roman"/>
          <w:b w:val="0"/>
          <w:bCs w:val="0"/>
          <w:color w:val="auto"/>
          <w:kern w:val="2"/>
          <w:sz w:val="32"/>
          <w:szCs w:val="32"/>
          <w:lang w:val="en-US" w:eastAsia="zh-CN" w:bidi="ar-SA"/>
        </w:rPr>
        <w:t>粤港澳大湾区国际人才驿站（横琴）2025年试运营服务项目</w:t>
      </w:r>
    </w:p>
    <w:p>
      <w:pPr>
        <w:spacing w:line="0" w:lineRule="atLeast"/>
        <w:rPr>
          <w:rFonts w:hint="eastAsia"/>
          <w:color w:val="auto"/>
        </w:rPr>
      </w:pPr>
      <w:r>
        <w:rPr>
          <w:rFonts w:hint="eastAsia" w:ascii="黑体" w:hAnsi="黑体" w:eastAsia="黑体" w:cs="黑体"/>
          <w:bCs w:val="0"/>
          <w:color w:val="auto"/>
          <w:sz w:val="32"/>
          <w:szCs w:val="32"/>
          <w:lang w:eastAsia="zh-CN"/>
        </w:rPr>
        <w:t>二</w:t>
      </w:r>
      <w:r>
        <w:rPr>
          <w:rFonts w:hint="eastAsia" w:ascii="黑体" w:hAnsi="黑体" w:eastAsia="黑体" w:cs="黑体"/>
          <w:bCs w:val="0"/>
          <w:color w:val="auto"/>
          <w:sz w:val="32"/>
          <w:szCs w:val="32"/>
        </w:rPr>
        <w:t>、</w:t>
      </w:r>
      <w:r>
        <w:rPr>
          <w:rFonts w:hint="eastAsia" w:ascii="黑体" w:hAnsi="黑体" w:eastAsia="黑体" w:cs="黑体"/>
          <w:bCs w:val="0"/>
          <w:color w:val="auto"/>
          <w:sz w:val="32"/>
          <w:szCs w:val="32"/>
          <w:lang w:eastAsia="zh-CN"/>
        </w:rPr>
        <w:t>综合</w:t>
      </w:r>
      <w:r>
        <w:rPr>
          <w:rFonts w:hint="eastAsia" w:ascii="黑体" w:hAnsi="黑体" w:eastAsia="黑体" w:cs="黑体"/>
          <w:bCs w:val="0"/>
          <w:color w:val="auto"/>
          <w:sz w:val="32"/>
          <w:szCs w:val="32"/>
        </w:rPr>
        <w:t>评分细则：</w:t>
      </w:r>
    </w:p>
    <w:p>
      <w:pPr>
        <w:pStyle w:val="9"/>
        <w:numPr>
          <w:ilvl w:val="0"/>
          <w:numId w:val="0"/>
        </w:numPr>
        <w:spacing w:before="120" w:after="120" w:line="500" w:lineRule="exact"/>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（一）技术部分（50分）</w:t>
      </w:r>
    </w:p>
    <w:tbl>
      <w:tblPr>
        <w:tblStyle w:val="6"/>
        <w:tblW w:w="9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7"/>
        <w:gridCol w:w="1046"/>
        <w:gridCol w:w="6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blHeader/>
          <w:jc w:val="center"/>
        </w:trPr>
        <w:tc>
          <w:tcPr>
            <w:tcW w:w="1497" w:type="dxa"/>
            <w:noWrap w:val="0"/>
            <w:vAlign w:val="center"/>
          </w:tcPr>
          <w:p>
            <w:pPr>
              <w:pStyle w:val="9"/>
              <w:spacing w:line="500" w:lineRule="exact"/>
              <w:jc w:val="center"/>
              <w:rPr>
                <w:rFonts w:hint="eastAsia" w:ascii="宋体" w:hAnsi="宋体" w:cs="宋体"/>
                <w:b/>
                <w:bCs/>
                <w:color w:val="auto"/>
                <w:sz w:val="24"/>
                <w:szCs w:val="24"/>
                <w:lang w:val="zh-CN"/>
              </w:rPr>
            </w:pPr>
            <w:r>
              <w:rPr>
                <w:rFonts w:hint="eastAsia" w:ascii="宋体" w:hAnsi="宋体" w:cs="宋体"/>
                <w:b/>
                <w:bCs/>
                <w:color w:val="auto"/>
                <w:sz w:val="24"/>
                <w:szCs w:val="24"/>
                <w:lang w:val="zh-CN"/>
              </w:rPr>
              <w:t>评审项目</w:t>
            </w:r>
          </w:p>
        </w:tc>
        <w:tc>
          <w:tcPr>
            <w:tcW w:w="1046" w:type="dxa"/>
            <w:noWrap w:val="0"/>
            <w:vAlign w:val="center"/>
          </w:tcPr>
          <w:p>
            <w:pPr>
              <w:pStyle w:val="9"/>
              <w:spacing w:line="500" w:lineRule="exact"/>
              <w:jc w:val="center"/>
              <w:rPr>
                <w:rFonts w:hint="eastAsia" w:ascii="宋体" w:hAnsi="宋体" w:cs="宋体"/>
                <w:b/>
                <w:bCs/>
                <w:color w:val="auto"/>
                <w:sz w:val="24"/>
                <w:szCs w:val="24"/>
                <w:lang w:val="zh-CN"/>
              </w:rPr>
            </w:pPr>
            <w:r>
              <w:rPr>
                <w:rFonts w:hint="eastAsia" w:ascii="宋体" w:hAnsi="宋体" w:eastAsia="宋体" w:cs="宋体"/>
                <w:b/>
                <w:bCs/>
                <w:color w:val="auto"/>
                <w:sz w:val="24"/>
                <w:szCs w:val="24"/>
                <w:lang w:val="zh-CN" w:eastAsia="zh-CN" w:bidi="ar-SA"/>
              </w:rPr>
              <w:t>分值</w:t>
            </w:r>
          </w:p>
        </w:tc>
        <w:tc>
          <w:tcPr>
            <w:tcW w:w="6682" w:type="dxa"/>
            <w:noWrap w:val="0"/>
            <w:vAlign w:val="center"/>
          </w:tcPr>
          <w:p>
            <w:pPr>
              <w:pStyle w:val="9"/>
              <w:spacing w:line="500" w:lineRule="exact"/>
              <w:jc w:val="center"/>
              <w:rPr>
                <w:rFonts w:hint="eastAsia" w:ascii="宋体" w:hAnsi="宋体" w:cs="宋体"/>
                <w:b/>
                <w:bCs/>
                <w:color w:val="auto"/>
                <w:sz w:val="24"/>
                <w:szCs w:val="24"/>
                <w:lang w:val="zh-CN"/>
              </w:rPr>
            </w:pPr>
            <w:r>
              <w:rPr>
                <w:rFonts w:hint="eastAsia" w:ascii="宋体" w:hAnsi="宋体" w:eastAsia="宋体" w:cs="宋体"/>
                <w:b/>
                <w:bCs/>
                <w:color w:val="auto"/>
                <w:sz w:val="24"/>
                <w:szCs w:val="24"/>
                <w:lang w:val="zh-CN" w:eastAsia="zh-CN" w:bidi="ar-SA"/>
              </w:rPr>
              <w:t>评分细则及分值范围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jc w:val="center"/>
        </w:trPr>
        <w:tc>
          <w:tcPr>
            <w:tcW w:w="1497" w:type="dxa"/>
            <w:noWrap w:val="0"/>
            <w:vAlign w:val="center"/>
          </w:tcPr>
          <w:p>
            <w:pPr>
              <w:spacing w:line="0" w:lineRule="atLeast"/>
              <w:jc w:val="center"/>
              <w:rPr>
                <w:rFonts w:hint="eastAsia" w:ascii="宋体" w:hAnsi="宋体" w:eastAsia="宋体" w:cs="宋体"/>
                <w:bCs/>
                <w:color w:val="auto"/>
                <w:sz w:val="24"/>
                <w:szCs w:val="24"/>
                <w:lang w:val="zh-CN" w:eastAsia="zh-CN" w:bidi="ar-SA"/>
              </w:rPr>
            </w:pPr>
            <w:r>
              <w:rPr>
                <w:rFonts w:hint="eastAsia" w:ascii="宋体" w:hAnsi="宋体" w:eastAsia="宋体" w:cs="宋体"/>
                <w:bCs/>
                <w:color w:val="auto"/>
                <w:sz w:val="24"/>
                <w:szCs w:val="24"/>
                <w:lang w:val="en-US" w:eastAsia="zh-CN" w:bidi="ar-SA"/>
              </w:rPr>
              <w:t>服务</w:t>
            </w:r>
            <w:r>
              <w:rPr>
                <w:rFonts w:hint="eastAsia" w:ascii="宋体" w:hAnsi="宋体" w:eastAsia="宋体" w:cs="宋体"/>
                <w:bCs/>
                <w:color w:val="auto"/>
                <w:sz w:val="24"/>
                <w:szCs w:val="24"/>
                <w:lang w:val="zh-CN" w:eastAsia="zh-CN" w:bidi="ar-SA"/>
              </w:rPr>
              <w:t>方案</w:t>
            </w:r>
          </w:p>
        </w:tc>
        <w:tc>
          <w:tcPr>
            <w:tcW w:w="1046" w:type="dxa"/>
            <w:noWrap w:val="0"/>
            <w:vAlign w:val="center"/>
          </w:tcPr>
          <w:p>
            <w:pPr>
              <w:spacing w:line="0" w:lineRule="atLeast"/>
              <w:jc w:val="center"/>
              <w:rPr>
                <w:rFonts w:hint="default" w:ascii="宋体" w:hAnsi="宋体" w:eastAsia="宋体" w:cs="宋体"/>
                <w:bCs/>
                <w:color w:val="auto"/>
                <w:sz w:val="24"/>
                <w:szCs w:val="24"/>
                <w:lang w:val="en-US" w:eastAsia="zh-CN" w:bidi="ar-SA"/>
              </w:rPr>
            </w:pPr>
            <w:r>
              <w:rPr>
                <w:rFonts w:hint="eastAsia" w:ascii="宋体" w:hAnsi="宋体" w:cs="宋体"/>
                <w:bCs/>
                <w:color w:val="auto"/>
                <w:sz w:val="24"/>
                <w:szCs w:val="24"/>
                <w:lang w:val="en-US" w:eastAsia="zh-CN" w:bidi="ar-SA"/>
              </w:rPr>
              <w:t>30</w:t>
            </w:r>
            <w:r>
              <w:rPr>
                <w:rFonts w:hint="eastAsia" w:ascii="宋体" w:hAnsi="宋体" w:eastAsia="宋体" w:cs="宋体"/>
                <w:bCs/>
                <w:color w:val="auto"/>
                <w:sz w:val="24"/>
                <w:szCs w:val="24"/>
                <w:lang w:val="en-US" w:eastAsia="zh-CN" w:bidi="ar-SA"/>
              </w:rPr>
              <w:t>分</w:t>
            </w:r>
          </w:p>
        </w:tc>
        <w:tc>
          <w:tcPr>
            <w:tcW w:w="6682" w:type="dxa"/>
            <w:noWrap w:val="0"/>
            <w:vAlign w:val="center"/>
          </w:tcPr>
          <w:p>
            <w:pPr>
              <w:pStyle w:val="9"/>
              <w:spacing w:line="500" w:lineRule="exact"/>
              <w:rPr>
                <w:rFonts w:hint="default"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投标人提供的服务方案</w:t>
            </w:r>
            <w:r>
              <w:rPr>
                <w:rFonts w:hint="eastAsia" w:ascii="宋体" w:hAnsi="宋体" w:cs="宋体"/>
                <w:color w:val="auto"/>
                <w:sz w:val="24"/>
                <w:szCs w:val="24"/>
                <w:lang w:val="en-US" w:eastAsia="zh-CN"/>
              </w:rPr>
              <w:t>需涵盖以下四项服务内容：</w:t>
            </w:r>
          </w:p>
          <w:p>
            <w:pPr>
              <w:pStyle w:val="9"/>
              <w:spacing w:line="500" w:lineRule="exact"/>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1.人才住宿服务：</w:t>
            </w:r>
            <w:r>
              <w:rPr>
                <w:rFonts w:hint="eastAsia" w:ascii="宋体" w:hAnsi="宋体" w:eastAsia="宋体" w:cs="宋体"/>
                <w:color w:val="auto"/>
                <w:sz w:val="24"/>
                <w:szCs w:val="24"/>
                <w:lang w:val="en-US" w:eastAsia="zh-CN"/>
              </w:rPr>
              <w:t>投标人需为提供不少于2家</w:t>
            </w:r>
            <w:r>
              <w:rPr>
                <w:rFonts w:hint="eastAsia" w:ascii="宋体" w:hAnsi="宋体" w:cs="宋体"/>
                <w:color w:val="auto"/>
                <w:sz w:val="24"/>
                <w:szCs w:val="24"/>
                <w:lang w:val="en-US" w:eastAsia="zh-CN"/>
              </w:rPr>
              <w:t>合作区</w:t>
            </w:r>
            <w:r>
              <w:rPr>
                <w:rFonts w:hint="eastAsia" w:ascii="宋体" w:hAnsi="宋体" w:eastAsia="宋体" w:cs="宋体"/>
                <w:color w:val="auto"/>
                <w:sz w:val="24"/>
                <w:szCs w:val="24"/>
                <w:lang w:val="en-US" w:eastAsia="zh-CN"/>
              </w:rPr>
              <w:t>公寓型或酒店型房源供来</w:t>
            </w:r>
            <w:r>
              <w:rPr>
                <w:rFonts w:hint="eastAsia" w:ascii="宋体" w:hAnsi="宋体" w:cs="宋体"/>
                <w:color w:val="auto"/>
                <w:sz w:val="24"/>
                <w:szCs w:val="24"/>
                <w:lang w:val="en-US" w:eastAsia="zh-CN"/>
              </w:rPr>
              <w:t>合作区</w:t>
            </w:r>
            <w:r>
              <w:rPr>
                <w:rFonts w:hint="eastAsia" w:ascii="宋体" w:hAnsi="宋体" w:eastAsia="宋体" w:cs="宋体"/>
                <w:color w:val="auto"/>
                <w:sz w:val="24"/>
                <w:szCs w:val="24"/>
                <w:lang w:val="en-US" w:eastAsia="zh-CN"/>
              </w:rPr>
              <w:t>求职人才选择，工作日提供不少于7个</w:t>
            </w:r>
            <w:r>
              <w:rPr>
                <w:rFonts w:hint="eastAsia" w:ascii="宋体" w:hAnsi="宋体" w:cs="宋体"/>
                <w:color w:val="auto"/>
                <w:sz w:val="24"/>
                <w:szCs w:val="24"/>
                <w:lang w:val="en-US" w:eastAsia="zh-CN"/>
              </w:rPr>
              <w:t>/天的</w:t>
            </w:r>
            <w:r>
              <w:rPr>
                <w:rFonts w:hint="eastAsia" w:ascii="宋体" w:hAnsi="宋体" w:eastAsia="宋体" w:cs="宋体"/>
                <w:color w:val="auto"/>
                <w:sz w:val="24"/>
                <w:szCs w:val="24"/>
                <w:lang w:val="en-US" w:eastAsia="zh-CN"/>
              </w:rPr>
              <w:t>房源、周末提供不少于4个</w:t>
            </w:r>
            <w:r>
              <w:rPr>
                <w:rFonts w:hint="eastAsia" w:ascii="宋体" w:hAnsi="宋体" w:cs="宋体"/>
                <w:color w:val="auto"/>
                <w:sz w:val="24"/>
                <w:szCs w:val="24"/>
                <w:lang w:val="en-US" w:eastAsia="zh-CN"/>
              </w:rPr>
              <w:t>/天的</w:t>
            </w:r>
            <w:r>
              <w:rPr>
                <w:rFonts w:hint="eastAsia" w:ascii="宋体" w:hAnsi="宋体" w:eastAsia="宋体" w:cs="宋体"/>
                <w:color w:val="auto"/>
                <w:sz w:val="24"/>
                <w:szCs w:val="24"/>
                <w:lang w:val="en-US" w:eastAsia="zh-CN"/>
              </w:rPr>
              <w:t>房源</w:t>
            </w:r>
            <w:r>
              <w:rPr>
                <w:rFonts w:hint="eastAsia" w:ascii="宋体" w:hAnsi="宋体" w:cs="宋体"/>
                <w:color w:val="auto"/>
                <w:sz w:val="24"/>
                <w:szCs w:val="24"/>
                <w:lang w:val="en-US" w:eastAsia="zh-CN"/>
              </w:rPr>
              <w:t>供</w:t>
            </w:r>
            <w:r>
              <w:rPr>
                <w:rFonts w:hint="eastAsia" w:ascii="宋体" w:hAnsi="宋体" w:eastAsia="宋体" w:cs="宋体"/>
                <w:color w:val="auto"/>
                <w:sz w:val="24"/>
                <w:szCs w:val="24"/>
                <w:lang w:val="en-US" w:eastAsia="zh-CN"/>
              </w:rPr>
              <w:t>人才申请（房源供应期为工作日或周末，在法定节假日及合作区重大活动期间不提供住宿服务），此项服务按招实际入住间夜数结算。</w:t>
            </w:r>
          </w:p>
          <w:p>
            <w:pPr>
              <w:pStyle w:val="9"/>
              <w:spacing w:line="500" w:lineRule="exact"/>
              <w:rPr>
                <w:rFonts w:hint="eastAsia" w:ascii="宋体" w:hAnsi="宋体" w:eastAsia="宋体" w:cs="宋体"/>
                <w:color w:val="auto"/>
                <w:sz w:val="24"/>
                <w:szCs w:val="24"/>
                <w:lang w:val="en-US" w:eastAsia="zh-CN"/>
              </w:rPr>
            </w:pPr>
          </w:p>
          <w:p>
            <w:pPr>
              <w:pStyle w:val="9"/>
              <w:spacing w:line="500" w:lineRule="exact"/>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2.特色及节日人才服务：</w:t>
            </w:r>
            <w:r>
              <w:rPr>
                <w:rFonts w:hint="eastAsia" w:ascii="宋体" w:hAnsi="宋体" w:eastAsia="宋体" w:cs="宋体"/>
                <w:color w:val="auto"/>
                <w:sz w:val="24"/>
                <w:szCs w:val="24"/>
                <w:lang w:val="en-US" w:eastAsia="zh-CN"/>
              </w:rPr>
              <w:t>投标人在服务期间提供</w:t>
            </w:r>
            <w:r>
              <w:rPr>
                <w:rFonts w:hint="eastAsia" w:ascii="宋体" w:hAnsi="宋体" w:cs="宋体"/>
                <w:color w:val="auto"/>
                <w:sz w:val="24"/>
                <w:szCs w:val="24"/>
                <w:lang w:val="en-US" w:eastAsia="zh-CN"/>
              </w:rPr>
              <w:t>需</w:t>
            </w:r>
            <w:r>
              <w:rPr>
                <w:rFonts w:hint="eastAsia" w:ascii="宋体" w:hAnsi="宋体" w:eastAsia="宋体" w:cs="宋体"/>
                <w:color w:val="auto"/>
                <w:sz w:val="24"/>
                <w:szCs w:val="24"/>
                <w:lang w:val="en-US" w:eastAsia="zh-CN"/>
              </w:rPr>
              <w:t>人才节日慰问相关服务，包括但不仅限于节日礼品赠送、人才慰问走访等；为人才提供</w:t>
            </w:r>
            <w:r>
              <w:rPr>
                <w:rFonts w:hint="eastAsia" w:ascii="宋体" w:hAnsi="宋体" w:cs="宋体"/>
                <w:color w:val="auto"/>
                <w:sz w:val="24"/>
                <w:szCs w:val="24"/>
                <w:lang w:val="en-US" w:eastAsia="zh-CN"/>
              </w:rPr>
              <w:t>文娱影视</w:t>
            </w:r>
            <w:r>
              <w:rPr>
                <w:rFonts w:hint="eastAsia" w:ascii="宋体" w:hAnsi="宋体" w:eastAsia="宋体" w:cs="宋体"/>
                <w:color w:val="auto"/>
                <w:sz w:val="24"/>
                <w:szCs w:val="24"/>
                <w:lang w:val="en-US" w:eastAsia="zh-CN"/>
              </w:rPr>
              <w:t>、体育竞赛、文化艺术等不同类型活动的免费门票或折扣优惠；另需为人才反馈的</w:t>
            </w:r>
            <w:r>
              <w:rPr>
                <w:rFonts w:hint="eastAsia" w:ascii="宋体" w:hAnsi="宋体" w:cs="宋体"/>
                <w:color w:val="auto"/>
                <w:sz w:val="24"/>
                <w:szCs w:val="24"/>
                <w:lang w:val="en-US" w:eastAsia="zh-CN"/>
              </w:rPr>
              <w:t>合理</w:t>
            </w:r>
            <w:r>
              <w:rPr>
                <w:rFonts w:hint="eastAsia" w:ascii="宋体" w:hAnsi="宋体" w:eastAsia="宋体" w:cs="宋体"/>
                <w:color w:val="auto"/>
                <w:sz w:val="24"/>
                <w:szCs w:val="24"/>
                <w:lang w:val="en-US" w:eastAsia="zh-CN"/>
              </w:rPr>
              <w:t>服务需求作相应服务</w:t>
            </w:r>
            <w:r>
              <w:rPr>
                <w:rFonts w:hint="eastAsia" w:ascii="宋体" w:hAnsi="宋体" w:cs="宋体"/>
                <w:color w:val="auto"/>
                <w:sz w:val="24"/>
                <w:szCs w:val="24"/>
                <w:lang w:val="en-US" w:eastAsia="zh-CN"/>
              </w:rPr>
              <w:t>内容</w:t>
            </w:r>
            <w:r>
              <w:rPr>
                <w:rFonts w:hint="eastAsia" w:ascii="宋体" w:hAnsi="宋体" w:eastAsia="宋体" w:cs="宋体"/>
                <w:color w:val="auto"/>
                <w:sz w:val="24"/>
                <w:szCs w:val="24"/>
                <w:lang w:val="en-US" w:eastAsia="zh-CN"/>
              </w:rPr>
              <w:t>的提供。</w:t>
            </w:r>
          </w:p>
          <w:p>
            <w:pPr>
              <w:pStyle w:val="9"/>
              <w:spacing w:line="500" w:lineRule="exact"/>
              <w:rPr>
                <w:rFonts w:hint="eastAsia" w:ascii="宋体" w:hAnsi="宋体" w:eastAsia="宋体" w:cs="宋体"/>
                <w:color w:val="auto"/>
                <w:sz w:val="24"/>
                <w:szCs w:val="24"/>
                <w:lang w:val="en-US" w:eastAsia="zh-CN"/>
              </w:rPr>
            </w:pPr>
          </w:p>
          <w:p>
            <w:pPr>
              <w:pStyle w:val="9"/>
              <w:spacing w:line="500" w:lineRule="exact"/>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3.人才交流活动：</w:t>
            </w:r>
            <w:r>
              <w:rPr>
                <w:rFonts w:hint="eastAsia" w:ascii="宋体" w:hAnsi="宋体" w:cs="宋体"/>
                <w:b w:val="0"/>
                <w:bCs w:val="0"/>
                <w:color w:val="auto"/>
                <w:sz w:val="24"/>
                <w:szCs w:val="24"/>
                <w:lang w:val="en-US" w:eastAsia="zh-CN"/>
              </w:rPr>
              <w:t>组织</w:t>
            </w:r>
            <w:r>
              <w:rPr>
                <w:rFonts w:hint="eastAsia" w:ascii="宋体" w:hAnsi="宋体" w:eastAsia="宋体" w:cs="宋体"/>
                <w:color w:val="auto"/>
                <w:sz w:val="24"/>
                <w:szCs w:val="24"/>
                <w:lang w:val="en-US" w:eastAsia="zh-CN"/>
              </w:rPr>
              <w:t>开展不少于3场人才活动。包括:</w:t>
            </w:r>
          </w:p>
          <w:p>
            <w:pPr>
              <w:pStyle w:val="9"/>
              <w:spacing w:line="5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（1）1场针对来合作区考察调研、创新创业的优秀人才团队、澳门引进的“高端人才”和“优秀人才”等</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lang w:val="en-US" w:eastAsia="zh-CN"/>
              </w:rPr>
              <w:t>产业、企业调研走访的</w:t>
            </w:r>
            <w:r>
              <w:rPr>
                <w:rFonts w:hint="eastAsia" w:ascii="宋体" w:hAnsi="宋体" w:cs="宋体"/>
                <w:color w:val="auto"/>
                <w:sz w:val="24"/>
                <w:szCs w:val="24"/>
                <w:lang w:val="en-US" w:eastAsia="zh-CN"/>
              </w:rPr>
              <w:t>交流</w:t>
            </w:r>
            <w:r>
              <w:rPr>
                <w:rFonts w:hint="eastAsia" w:ascii="宋体" w:hAnsi="宋体" w:eastAsia="宋体" w:cs="宋体"/>
                <w:color w:val="auto"/>
                <w:sz w:val="24"/>
                <w:szCs w:val="24"/>
                <w:lang w:val="en-US" w:eastAsia="zh-CN"/>
              </w:rPr>
              <w:t>活动，活动时长不少于5小时，规模不少于30人，且在合作区走访调研企业不少于2家；</w:t>
            </w:r>
          </w:p>
          <w:p>
            <w:pPr>
              <w:pStyle w:val="9"/>
              <w:spacing w:line="5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（2）1场户外茶话会或草地音乐会等时下受欢迎的特色</w:t>
            </w:r>
            <w:r>
              <w:rPr>
                <w:rFonts w:hint="eastAsia" w:ascii="宋体" w:hAnsi="宋体" w:cs="宋体"/>
                <w:color w:val="auto"/>
                <w:sz w:val="24"/>
                <w:szCs w:val="24"/>
                <w:lang w:val="en-US" w:eastAsia="zh-CN"/>
              </w:rPr>
              <w:t>人才</w:t>
            </w:r>
            <w:r>
              <w:rPr>
                <w:rFonts w:hint="eastAsia" w:ascii="宋体" w:hAnsi="宋体" w:eastAsia="宋体" w:cs="宋体"/>
                <w:color w:val="auto"/>
                <w:sz w:val="24"/>
                <w:szCs w:val="24"/>
                <w:lang w:val="en-US" w:eastAsia="zh-CN"/>
              </w:rPr>
              <w:t>活动，为合作区人才打造轻松愉快的轻社交场景，活动时长不少于4小时，规模不少于60人，活动现场需包含相关体验项目。</w:t>
            </w:r>
          </w:p>
          <w:p>
            <w:pPr>
              <w:pStyle w:val="9"/>
              <w:spacing w:line="5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（3）1场合作区人才政策宣讲活动，系统解读琴最新人才政策，支持指施、配套服务等关键内容。活动时长不少于</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val="en-US" w:eastAsia="zh-CN"/>
              </w:rPr>
              <w:t>小时，规模不少于50人，宣讲内容需含括合作区人才政策。</w:t>
            </w:r>
          </w:p>
          <w:p>
            <w:pPr>
              <w:pStyle w:val="9"/>
              <w:spacing w:line="500" w:lineRule="exact"/>
              <w:rPr>
                <w:rFonts w:hint="eastAsia" w:ascii="宋体" w:hAnsi="宋体" w:eastAsia="宋体" w:cs="宋体"/>
                <w:color w:val="auto"/>
                <w:sz w:val="24"/>
                <w:szCs w:val="24"/>
                <w:lang w:val="en-US" w:eastAsia="zh-CN"/>
              </w:rPr>
            </w:pPr>
          </w:p>
          <w:p>
            <w:pPr>
              <w:pStyle w:val="9"/>
              <w:spacing w:line="500" w:lineRule="exact"/>
              <w:rPr>
                <w:rFonts w:hint="default" w:ascii="宋体" w:hAnsi="宋体" w:eastAsia="宋体" w:cs="宋体"/>
                <w:color w:val="auto"/>
                <w:sz w:val="24"/>
                <w:szCs w:val="24"/>
                <w:lang w:val="en-US" w:eastAsia="zh-CN"/>
              </w:rPr>
            </w:pP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lang w:val="en-US" w:eastAsia="zh-CN"/>
              </w:rPr>
              <w:t>宣传服务：</w:t>
            </w:r>
            <w:r>
              <w:rPr>
                <w:rFonts w:hint="eastAsia" w:ascii="宋体" w:hAnsi="宋体" w:eastAsia="宋体" w:cs="宋体"/>
                <w:color w:val="auto"/>
                <w:sz w:val="24"/>
                <w:szCs w:val="24"/>
                <w:lang w:val="en-US" w:eastAsia="zh-CN"/>
              </w:rPr>
              <w:t>投标人</w:t>
            </w:r>
            <w:r>
              <w:rPr>
                <w:rFonts w:hint="default" w:ascii="宋体" w:hAnsi="宋体" w:eastAsia="宋体" w:cs="宋体"/>
                <w:color w:val="auto"/>
                <w:sz w:val="24"/>
                <w:szCs w:val="24"/>
                <w:lang w:val="en-US" w:eastAsia="zh-CN"/>
              </w:rPr>
              <w:t>应根据驿站实际运营需求提供公众号或小程序住宿及活动预约等相关服务申请入口，在试运营期间提供简便的线上人才服务，嵌入人才住宿服务申请、人才活动报名、人才政策解读等模块，定期更新驿站动态、活动回顾、合作区人才资讯等信息通过渠道投流、媒体合作等形式，并经由我局审核内容后，在各类媒体、横琴主流平台及社媒平台推送驿站介绍、服务指南及活动宣传等内容;同时，为人才驿站做好实体宣传工作，协助制作驿站手册或折页、水牌、易拉宝、周边文创等宣传物料。</w:t>
            </w:r>
          </w:p>
          <w:p>
            <w:pPr>
              <w:pStyle w:val="9"/>
              <w:spacing w:line="500" w:lineRule="exact"/>
              <w:rPr>
                <w:rFonts w:hint="default" w:ascii="宋体" w:hAnsi="宋体" w:eastAsia="宋体" w:cs="宋体"/>
                <w:color w:val="auto"/>
                <w:sz w:val="24"/>
                <w:szCs w:val="24"/>
                <w:lang w:val="en-US" w:eastAsia="zh-CN"/>
              </w:rPr>
            </w:pPr>
          </w:p>
          <w:p>
            <w:pPr>
              <w:pStyle w:val="9"/>
              <w:spacing w:line="500" w:lineRule="exact"/>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对</w:t>
            </w:r>
            <w:r>
              <w:rPr>
                <w:rFonts w:hint="eastAsia" w:ascii="宋体" w:hAnsi="宋体" w:eastAsia="宋体" w:cs="宋体"/>
                <w:color w:val="auto"/>
                <w:sz w:val="24"/>
                <w:szCs w:val="24"/>
                <w:lang w:val="en-US" w:eastAsia="zh-CN"/>
              </w:rPr>
              <w:t>投标人</w:t>
            </w:r>
            <w:r>
              <w:rPr>
                <w:rFonts w:hint="eastAsia" w:ascii="宋体" w:hAnsi="宋体" w:cs="宋体"/>
                <w:color w:val="auto"/>
                <w:sz w:val="24"/>
                <w:szCs w:val="24"/>
                <w:lang w:val="en-US" w:eastAsia="zh-CN"/>
              </w:rPr>
              <w:t>所提供的</w:t>
            </w:r>
            <w:r>
              <w:rPr>
                <w:rFonts w:hint="eastAsia" w:ascii="宋体" w:hAnsi="宋体" w:eastAsia="宋体" w:cs="宋体"/>
                <w:color w:val="auto"/>
                <w:sz w:val="24"/>
                <w:szCs w:val="24"/>
                <w:lang w:val="en-US" w:eastAsia="zh-CN"/>
              </w:rPr>
              <w:t>服务方案</w:t>
            </w:r>
            <w:r>
              <w:rPr>
                <w:rFonts w:hint="eastAsia" w:ascii="宋体" w:hAnsi="宋体" w:eastAsia="宋体" w:cs="宋体"/>
                <w:color w:val="auto"/>
                <w:sz w:val="24"/>
                <w:szCs w:val="24"/>
                <w:lang w:val="zh-CN" w:eastAsia="zh-CN"/>
              </w:rPr>
              <w:t>（包括但不限于对项目需求的理解、服务设计、服务内容、服务目标、实施方案等方面进行阐述）</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lang w:val="zh-CN" w:eastAsia="zh-CN"/>
              </w:rPr>
              <w:t xml:space="preserve">完整性、明确性、可行性、及时性等方面进行综合评审： </w:t>
            </w:r>
          </w:p>
          <w:p>
            <w:pPr>
              <w:pStyle w:val="9"/>
              <w:numPr>
                <w:ilvl w:val="0"/>
                <w:numId w:val="0"/>
              </w:numPr>
              <w:spacing w:line="500" w:lineRule="exac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 xml:space="preserve">投标人方案内容详细、可行性强，对需求的理解全面透彻，详细且有深度；服务框架设计完整科学；服务内容和目标清晰明确；实施方案契合项目需求且可行性强，得25-30分； </w:t>
            </w:r>
          </w:p>
          <w:p>
            <w:pPr>
              <w:pStyle w:val="9"/>
              <w:spacing w:line="500" w:lineRule="exac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 xml:space="preserve">投标人方案内容清晰，对需求的理解全面，服务框架设计完整，服务内容和目标比较清晰，实施方案比较符合项目需求且可行，得20-24分； </w:t>
            </w:r>
          </w:p>
          <w:p>
            <w:pPr>
              <w:pStyle w:val="9"/>
              <w:spacing w:line="500" w:lineRule="exac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投标人制定服务方案基本合理、内容简单，可行性一般，得15-19分；</w:t>
            </w:r>
          </w:p>
          <w:p>
            <w:pPr>
              <w:pStyle w:val="9"/>
              <w:spacing w:line="500" w:lineRule="exac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投标人制定服务方案不够合理，可行性不够，得10-14分。</w:t>
            </w:r>
          </w:p>
          <w:p>
            <w:pPr>
              <w:pStyle w:val="9"/>
              <w:spacing w:line="5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注：未提供服务方案的，不得分。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8" w:hRule="atLeast"/>
          <w:jc w:val="center"/>
        </w:trPr>
        <w:tc>
          <w:tcPr>
            <w:tcW w:w="1497" w:type="dxa"/>
            <w:noWrap w:val="0"/>
            <w:vAlign w:val="center"/>
          </w:tcPr>
          <w:p>
            <w:pPr>
              <w:pStyle w:val="9"/>
              <w:spacing w:line="5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项目管理</w:t>
            </w:r>
          </w:p>
          <w:p>
            <w:pPr>
              <w:pStyle w:val="9"/>
              <w:spacing w:line="5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综合能力</w:t>
            </w:r>
          </w:p>
        </w:tc>
        <w:tc>
          <w:tcPr>
            <w:tcW w:w="1046" w:type="dxa"/>
            <w:noWrap w:val="0"/>
            <w:vAlign w:val="center"/>
          </w:tcPr>
          <w:p>
            <w:pPr>
              <w:pStyle w:val="9"/>
              <w:spacing w:line="5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15</w:t>
            </w:r>
            <w:r>
              <w:rPr>
                <w:rFonts w:hint="eastAsia" w:ascii="宋体" w:hAnsi="宋体" w:eastAsia="宋体" w:cs="宋体"/>
                <w:color w:val="auto"/>
                <w:sz w:val="24"/>
                <w:szCs w:val="24"/>
                <w:lang w:val="en-US" w:eastAsia="zh-CN" w:bidi="ar-SA"/>
              </w:rPr>
              <w:t>分</w:t>
            </w:r>
          </w:p>
        </w:tc>
        <w:tc>
          <w:tcPr>
            <w:tcW w:w="6682" w:type="dxa"/>
            <w:noWrap w:val="0"/>
            <w:vAlign w:val="center"/>
          </w:tcPr>
          <w:p>
            <w:pPr>
              <w:pStyle w:val="9"/>
              <w:spacing w:line="500" w:lineRule="exac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对</w:t>
            </w:r>
            <w:r>
              <w:rPr>
                <w:rFonts w:hint="eastAsia" w:ascii="宋体" w:hAnsi="宋体" w:eastAsia="宋体" w:cs="宋体"/>
                <w:color w:val="auto"/>
                <w:sz w:val="24"/>
                <w:szCs w:val="24"/>
                <w:lang w:val="en-US" w:eastAsia="zh-CN"/>
              </w:rPr>
              <w:t>投标人</w:t>
            </w:r>
            <w:r>
              <w:rPr>
                <w:rFonts w:hint="eastAsia" w:ascii="宋体" w:hAnsi="宋体" w:cs="宋体"/>
                <w:color w:val="auto"/>
                <w:sz w:val="24"/>
                <w:szCs w:val="24"/>
                <w:lang w:val="en-US" w:eastAsia="zh-CN"/>
              </w:rPr>
              <w:t>所提供的项目管理综合方案</w:t>
            </w:r>
            <w:r>
              <w:rPr>
                <w:rFonts w:hint="eastAsia" w:ascii="宋体" w:hAnsi="宋体" w:eastAsia="宋体" w:cs="宋体"/>
                <w:color w:val="auto"/>
                <w:sz w:val="24"/>
                <w:szCs w:val="24"/>
                <w:lang w:val="zh-CN" w:eastAsia="zh-CN"/>
              </w:rPr>
              <w:t>（包括但不限于对项目</w:t>
            </w:r>
            <w:r>
              <w:rPr>
                <w:rFonts w:hint="eastAsia" w:ascii="宋体" w:hAnsi="宋体" w:cs="宋体"/>
                <w:color w:val="auto"/>
                <w:sz w:val="24"/>
                <w:szCs w:val="24"/>
                <w:lang w:val="en-US" w:eastAsia="zh-CN"/>
              </w:rPr>
              <w:t>保密要求、管理体系、总结机制</w:t>
            </w:r>
            <w:r>
              <w:rPr>
                <w:rFonts w:hint="eastAsia" w:ascii="宋体" w:hAnsi="宋体" w:eastAsia="宋体" w:cs="宋体"/>
                <w:color w:val="auto"/>
                <w:sz w:val="24"/>
                <w:szCs w:val="24"/>
                <w:lang w:val="zh-CN" w:eastAsia="zh-CN"/>
              </w:rPr>
              <w:t>等方面进行阐述）</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lang w:val="zh-CN" w:eastAsia="zh-CN"/>
              </w:rPr>
              <w:t>完整性、明确性、可行性等方面进行综合评审：</w:t>
            </w:r>
          </w:p>
          <w:p>
            <w:pPr>
              <w:pStyle w:val="9"/>
              <w:numPr>
                <w:ilvl w:val="0"/>
                <w:numId w:val="0"/>
              </w:numPr>
              <w:spacing w:line="500" w:lineRule="exac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投标人方案内容详细</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对</w:t>
            </w:r>
            <w:r>
              <w:rPr>
                <w:rFonts w:hint="eastAsia" w:ascii="宋体" w:hAnsi="宋体" w:cs="宋体"/>
                <w:color w:val="auto"/>
                <w:sz w:val="24"/>
                <w:szCs w:val="24"/>
                <w:lang w:val="en-US" w:eastAsia="zh-CN"/>
              </w:rPr>
              <w:t>项目管理</w:t>
            </w:r>
            <w:r>
              <w:rPr>
                <w:rFonts w:hint="eastAsia" w:ascii="宋体" w:hAnsi="宋体" w:eastAsia="宋体" w:cs="宋体"/>
                <w:color w:val="auto"/>
                <w:sz w:val="24"/>
                <w:szCs w:val="24"/>
                <w:lang w:val="en-US" w:eastAsia="zh-CN"/>
              </w:rPr>
              <w:t>的理解透彻，设计完整科学</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内容清晰明确</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方案契合项目需求且可行性强，得</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15</w:t>
            </w:r>
            <w:r>
              <w:rPr>
                <w:rFonts w:hint="eastAsia" w:ascii="宋体" w:hAnsi="宋体" w:eastAsia="宋体" w:cs="宋体"/>
                <w:color w:val="auto"/>
                <w:sz w:val="24"/>
                <w:szCs w:val="24"/>
                <w:lang w:val="en-US" w:eastAsia="zh-CN"/>
              </w:rPr>
              <w:t xml:space="preserve">分； </w:t>
            </w:r>
          </w:p>
          <w:p>
            <w:pPr>
              <w:pStyle w:val="9"/>
              <w:spacing w:line="500" w:lineRule="exac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投标人方案内容清晰</w:t>
            </w:r>
            <w:r>
              <w:rPr>
                <w:rFonts w:hint="eastAsia" w:ascii="宋体" w:hAnsi="宋体" w:cs="宋体"/>
                <w:color w:val="auto"/>
                <w:sz w:val="24"/>
                <w:szCs w:val="24"/>
                <w:lang w:val="en-US" w:eastAsia="zh-CN"/>
              </w:rPr>
              <w:t>合理</w:t>
            </w:r>
            <w:r>
              <w:rPr>
                <w:rFonts w:hint="eastAsia" w:ascii="宋体" w:hAnsi="宋体" w:eastAsia="宋体" w:cs="宋体"/>
                <w:color w:val="auto"/>
                <w:sz w:val="24"/>
                <w:szCs w:val="24"/>
                <w:lang w:val="en-US" w:eastAsia="zh-CN"/>
              </w:rPr>
              <w:t>，对</w:t>
            </w:r>
            <w:r>
              <w:rPr>
                <w:rFonts w:hint="eastAsia" w:ascii="宋体" w:hAnsi="宋体" w:cs="宋体"/>
                <w:color w:val="auto"/>
                <w:sz w:val="24"/>
                <w:szCs w:val="24"/>
                <w:lang w:val="en-US" w:eastAsia="zh-CN"/>
              </w:rPr>
              <w:t>项目管理</w:t>
            </w:r>
            <w:r>
              <w:rPr>
                <w:rFonts w:hint="eastAsia" w:ascii="宋体" w:hAnsi="宋体" w:eastAsia="宋体" w:cs="宋体"/>
                <w:color w:val="auto"/>
                <w:sz w:val="24"/>
                <w:szCs w:val="24"/>
                <w:lang w:val="en-US" w:eastAsia="zh-CN"/>
              </w:rPr>
              <w:t>的理解全面，服务框架设计完整，内容</w:t>
            </w:r>
            <w:r>
              <w:rPr>
                <w:rFonts w:hint="eastAsia" w:ascii="宋体" w:hAnsi="宋体" w:cs="宋体"/>
                <w:color w:val="auto"/>
                <w:sz w:val="24"/>
                <w:szCs w:val="24"/>
                <w:lang w:val="en-US" w:eastAsia="zh-CN"/>
              </w:rPr>
              <w:t>简单</w:t>
            </w:r>
            <w:r>
              <w:rPr>
                <w:rFonts w:hint="eastAsia" w:ascii="宋体" w:hAnsi="宋体" w:eastAsia="宋体" w:cs="宋体"/>
                <w:color w:val="auto"/>
                <w:sz w:val="24"/>
                <w:szCs w:val="24"/>
                <w:lang w:val="en-US" w:eastAsia="zh-CN"/>
              </w:rPr>
              <w:t>，方案比较符合项目需求且可行，得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 xml:space="preserve">分； </w:t>
            </w:r>
          </w:p>
          <w:p>
            <w:pPr>
              <w:pStyle w:val="9"/>
              <w:spacing w:line="500" w:lineRule="exact"/>
              <w:rPr>
                <w:rFonts w:hint="eastAsia"/>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投标人制定服务方案不够合理，可行性不够，得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分。</w:t>
            </w:r>
          </w:p>
          <w:p>
            <w:pPr>
              <w:pStyle w:val="9"/>
              <w:spacing w:line="500" w:lineRule="exac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注：未提供项目</w:t>
            </w:r>
            <w:r>
              <w:rPr>
                <w:rFonts w:hint="eastAsia" w:ascii="宋体" w:hAnsi="宋体" w:cs="宋体"/>
                <w:color w:val="auto"/>
                <w:sz w:val="24"/>
                <w:szCs w:val="24"/>
                <w:lang w:val="en-US" w:eastAsia="zh-CN"/>
              </w:rPr>
              <w:t>管理</w:t>
            </w:r>
            <w:r>
              <w:rPr>
                <w:rFonts w:hint="eastAsia" w:ascii="宋体" w:hAnsi="宋体" w:eastAsia="宋体" w:cs="宋体"/>
                <w:color w:val="auto"/>
                <w:sz w:val="24"/>
                <w:szCs w:val="24"/>
                <w:lang w:val="en-US" w:eastAsia="zh-CN"/>
              </w:rPr>
              <w:t>综合方案</w:t>
            </w:r>
            <w:r>
              <w:rPr>
                <w:rFonts w:hint="eastAsia" w:ascii="宋体" w:hAnsi="宋体" w:eastAsia="宋体" w:cs="宋体"/>
                <w:color w:val="auto"/>
                <w:sz w:val="24"/>
                <w:szCs w:val="24"/>
                <w:lang w:val="zh-CN"/>
              </w:rPr>
              <w:t>，得</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zh-CN"/>
              </w:rPr>
              <w:t>分</w:t>
            </w:r>
            <w:r>
              <w:rPr>
                <w:rFonts w:hint="eastAsia" w:ascii="宋体" w:hAnsi="宋体" w:cs="宋体"/>
                <w:color w:val="auto"/>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7" w:hRule="atLeast"/>
          <w:jc w:val="center"/>
        </w:trPr>
        <w:tc>
          <w:tcPr>
            <w:tcW w:w="1497" w:type="dxa"/>
            <w:noWrap w:val="0"/>
            <w:vAlign w:val="center"/>
          </w:tcPr>
          <w:p>
            <w:pPr>
              <w:pStyle w:val="9"/>
              <w:spacing w:line="5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履约承诺书</w:t>
            </w:r>
          </w:p>
        </w:tc>
        <w:tc>
          <w:tcPr>
            <w:tcW w:w="1046" w:type="dxa"/>
            <w:noWrap w:val="0"/>
            <w:vAlign w:val="center"/>
          </w:tcPr>
          <w:p>
            <w:pPr>
              <w:pStyle w:val="9"/>
              <w:spacing w:line="50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c>
          <w:tcPr>
            <w:tcW w:w="6682" w:type="dxa"/>
            <w:noWrap w:val="0"/>
            <w:vAlign w:val="center"/>
          </w:tcPr>
          <w:p>
            <w:pPr>
              <w:pStyle w:val="9"/>
              <w:spacing w:line="5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根据投标人的应邀售后承诺书进行评分:</w:t>
            </w:r>
          </w:p>
          <w:p>
            <w:pPr>
              <w:pStyle w:val="10"/>
              <w:numPr>
                <w:ilvl w:val="0"/>
                <w:numId w:val="0"/>
              </w:numPr>
              <w:rPr>
                <w:rFonts w:hint="eastAsia"/>
                <w:lang w:val="en-US" w:eastAsia="zh-CN"/>
              </w:rPr>
            </w:pPr>
            <w:r>
              <w:rPr>
                <w:rFonts w:hint="eastAsia"/>
                <w:lang w:val="en-US" w:eastAsia="zh-CN"/>
              </w:rPr>
              <w:t>1.承诺的内容全面，可行性强；承诺的项目完成期、进度保障措施等方面满足采购要求，得3-5分。</w:t>
            </w:r>
          </w:p>
          <w:p>
            <w:pPr>
              <w:pStyle w:val="10"/>
              <w:numPr>
                <w:ilvl w:val="0"/>
                <w:numId w:val="0"/>
              </w:numPr>
              <w:rPr>
                <w:rFonts w:hint="eastAsia"/>
                <w:lang w:val="en-US" w:eastAsia="zh-CN"/>
              </w:rPr>
            </w:pPr>
            <w:r>
              <w:rPr>
                <w:rFonts w:hint="eastAsia"/>
                <w:lang w:val="en-US" w:eastAsia="zh-CN"/>
              </w:rPr>
              <w:t>2.其余情况酌情得0-2分。</w:t>
            </w:r>
          </w:p>
        </w:tc>
      </w:tr>
    </w:tbl>
    <w:p>
      <w:pPr>
        <w:pStyle w:val="9"/>
        <w:numPr>
          <w:ilvl w:val="0"/>
          <w:numId w:val="0"/>
        </w:numPr>
        <w:spacing w:before="120" w:after="120" w:line="500" w:lineRule="exact"/>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（二）商务部分（35分）</w:t>
      </w:r>
    </w:p>
    <w:tbl>
      <w:tblPr>
        <w:tblStyle w:val="7"/>
        <w:tblW w:w="9218" w:type="dxa"/>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1068"/>
        <w:gridCol w:w="6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593" w:type="dxa"/>
            <w:noWrap w:val="0"/>
            <w:vAlign w:val="center"/>
          </w:tcPr>
          <w:p>
            <w:pPr>
              <w:widowControl w:val="0"/>
              <w:spacing w:line="240" w:lineRule="exact"/>
              <w:jc w:val="center"/>
              <w:rPr>
                <w:rFonts w:ascii="仿宋_GB2312" w:hAnsi="仿宋_GB2312" w:eastAsia="仿宋_GB2312" w:cs="仿宋_GB2312"/>
                <w:b/>
                <w:bCs w:val="0"/>
                <w:color w:val="auto"/>
                <w:sz w:val="32"/>
                <w:szCs w:val="32"/>
                <w:shd w:val="clear" w:color="auto" w:fill="FFFFFF"/>
              </w:rPr>
            </w:pPr>
            <w:r>
              <w:rPr>
                <w:rFonts w:hint="eastAsia" w:ascii="宋体" w:hAnsi="宋体" w:cs="宋体"/>
                <w:b/>
                <w:bCs/>
                <w:color w:val="auto"/>
                <w:sz w:val="24"/>
                <w:szCs w:val="24"/>
                <w:lang w:val="zh-CN"/>
              </w:rPr>
              <w:t>评审项目</w:t>
            </w:r>
          </w:p>
        </w:tc>
        <w:tc>
          <w:tcPr>
            <w:tcW w:w="1068" w:type="dxa"/>
            <w:noWrap w:val="0"/>
            <w:vAlign w:val="center"/>
          </w:tcPr>
          <w:p>
            <w:pPr>
              <w:widowControl w:val="0"/>
              <w:spacing w:line="240" w:lineRule="exact"/>
              <w:jc w:val="center"/>
              <w:rPr>
                <w:rFonts w:ascii="仿宋_GB2312" w:hAnsi="仿宋_GB2312" w:eastAsia="仿宋_GB2312" w:cs="仿宋_GB2312"/>
                <w:b/>
                <w:bCs w:val="0"/>
                <w:color w:val="auto"/>
                <w:sz w:val="32"/>
                <w:szCs w:val="32"/>
                <w:shd w:val="clear" w:color="auto" w:fill="FFFFFF"/>
              </w:rPr>
            </w:pPr>
            <w:r>
              <w:rPr>
                <w:rFonts w:hint="eastAsia" w:ascii="宋体" w:hAnsi="宋体" w:eastAsia="宋体" w:cs="宋体"/>
                <w:b/>
                <w:bCs/>
                <w:color w:val="auto"/>
                <w:sz w:val="24"/>
                <w:szCs w:val="24"/>
                <w:lang w:val="zh-CN" w:eastAsia="zh-CN" w:bidi="ar-SA"/>
              </w:rPr>
              <w:t>分值</w:t>
            </w:r>
          </w:p>
        </w:tc>
        <w:tc>
          <w:tcPr>
            <w:tcW w:w="6557" w:type="dxa"/>
            <w:noWrap w:val="0"/>
            <w:vAlign w:val="center"/>
          </w:tcPr>
          <w:p>
            <w:pPr>
              <w:widowControl w:val="0"/>
              <w:spacing w:line="240" w:lineRule="exact"/>
              <w:jc w:val="center"/>
              <w:rPr>
                <w:rFonts w:ascii="仿宋_GB2312" w:hAnsi="仿宋_GB2312" w:eastAsia="仿宋_GB2312" w:cs="仿宋_GB2312"/>
                <w:b/>
                <w:bCs w:val="0"/>
                <w:color w:val="auto"/>
                <w:sz w:val="32"/>
                <w:szCs w:val="32"/>
                <w:shd w:val="clear" w:color="auto" w:fill="FFFFFF"/>
              </w:rPr>
            </w:pPr>
            <w:r>
              <w:rPr>
                <w:rFonts w:hint="eastAsia" w:ascii="宋体" w:hAnsi="宋体" w:eastAsia="宋体" w:cs="宋体"/>
                <w:b/>
                <w:bCs/>
                <w:color w:val="auto"/>
                <w:sz w:val="24"/>
                <w:szCs w:val="24"/>
                <w:lang w:val="zh-CN" w:eastAsia="zh-CN" w:bidi="ar-SA"/>
              </w:rPr>
              <w:t>评分细则及分值范围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trPr>
        <w:tc>
          <w:tcPr>
            <w:tcW w:w="1593" w:type="dxa"/>
            <w:noWrap w:val="0"/>
            <w:vAlign w:val="center"/>
          </w:tcPr>
          <w:p>
            <w:pPr>
              <w:pStyle w:val="9"/>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同类项目</w:t>
            </w:r>
          </w:p>
          <w:p>
            <w:pPr>
              <w:pStyle w:val="9"/>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业绩</w:t>
            </w:r>
          </w:p>
        </w:tc>
        <w:tc>
          <w:tcPr>
            <w:tcW w:w="1068" w:type="dxa"/>
            <w:noWrap w:val="0"/>
            <w:vAlign w:val="center"/>
          </w:tcPr>
          <w:p>
            <w:pPr>
              <w:pStyle w:val="9"/>
              <w:spacing w:line="5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分</w:t>
            </w:r>
          </w:p>
        </w:tc>
        <w:tc>
          <w:tcPr>
            <w:tcW w:w="6557" w:type="dxa"/>
            <w:noWrap w:val="0"/>
            <w:vAlign w:val="center"/>
          </w:tcPr>
          <w:p>
            <w:pPr>
              <w:pStyle w:val="9"/>
              <w:spacing w:line="500" w:lineRule="exact"/>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lang w:val="zh-CN" w:eastAsia="zh-CN"/>
              </w:rPr>
              <w:t>自2019年</w:t>
            </w:r>
            <w:r>
              <w:rPr>
                <w:rFonts w:hint="eastAsia" w:ascii="宋体" w:hAnsi="宋体" w:cs="宋体"/>
                <w:color w:val="auto"/>
                <w:sz w:val="24"/>
                <w:szCs w:val="24"/>
                <w:lang w:val="en-US" w:eastAsia="zh-CN"/>
              </w:rPr>
              <w:t>1月1日</w:t>
            </w:r>
            <w:r>
              <w:rPr>
                <w:rFonts w:hint="eastAsia" w:ascii="宋体" w:hAnsi="宋体" w:eastAsia="宋体" w:cs="宋体"/>
                <w:color w:val="auto"/>
                <w:sz w:val="24"/>
                <w:szCs w:val="24"/>
                <w:lang w:val="zh-CN" w:eastAsia="zh-CN"/>
              </w:rPr>
              <w:t>至此项目投标截止日期，有过</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lang w:val="zh-CN" w:eastAsia="zh-CN"/>
              </w:rPr>
              <w:t>项目执行经验的（以提供项目合同书</w:t>
            </w:r>
            <w:r>
              <w:rPr>
                <w:rFonts w:hint="eastAsia" w:ascii="宋体" w:hAnsi="宋体" w:cs="宋体"/>
                <w:color w:val="auto"/>
                <w:sz w:val="24"/>
                <w:szCs w:val="24"/>
                <w:lang w:val="en-US" w:eastAsia="zh-CN"/>
              </w:rPr>
              <w:t>及签订合同日期</w:t>
            </w:r>
            <w:r>
              <w:rPr>
                <w:rFonts w:hint="eastAsia" w:ascii="宋体" w:hAnsi="宋体" w:eastAsia="宋体" w:cs="宋体"/>
                <w:color w:val="auto"/>
                <w:sz w:val="24"/>
                <w:szCs w:val="24"/>
                <w:lang w:val="zh-CN" w:eastAsia="zh-CN"/>
              </w:rPr>
              <w:t>为准），</w:t>
            </w:r>
            <w:r>
              <w:rPr>
                <w:rFonts w:hint="eastAsia" w:ascii="宋体" w:hAnsi="宋体" w:cs="宋体"/>
                <w:color w:val="auto"/>
                <w:sz w:val="24"/>
                <w:szCs w:val="24"/>
                <w:lang w:val="en-US" w:eastAsia="zh-CN"/>
              </w:rPr>
              <w:t>每个</w:t>
            </w:r>
            <w:r>
              <w:rPr>
                <w:rFonts w:hint="eastAsia" w:ascii="宋体" w:hAnsi="宋体" w:eastAsia="宋体" w:cs="宋体"/>
                <w:color w:val="auto"/>
                <w:sz w:val="24"/>
                <w:szCs w:val="24"/>
                <w:lang w:val="zh-CN" w:eastAsia="zh-CN"/>
              </w:rPr>
              <w:t>得</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zh-CN" w:eastAsia="zh-CN"/>
              </w:rPr>
              <w:t>分，本项最高得</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zh-CN" w:eastAsia="zh-CN"/>
              </w:rPr>
              <w:t>分。</w:t>
            </w:r>
          </w:p>
          <w:p>
            <w:pPr>
              <w:pStyle w:val="9"/>
              <w:spacing w:line="5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注：须提供合同关键页复印件，要点包括项目名称、签约时间、合同金额、项目主要内容和双方盖章页</w:t>
            </w:r>
            <w:r>
              <w:rPr>
                <w:rFonts w:hint="eastAsia" w:ascii="宋体" w:hAnsi="宋体" w:cs="宋体"/>
                <w:color w:val="auto"/>
                <w:sz w:val="24"/>
                <w:szCs w:val="24"/>
                <w:lang w:val="zh-CN" w:eastAsia="zh-CN"/>
              </w:rPr>
              <w:t>（</w:t>
            </w:r>
            <w:r>
              <w:rPr>
                <w:rFonts w:hint="eastAsia" w:ascii="宋体" w:hAnsi="宋体" w:cs="宋体"/>
                <w:color w:val="auto"/>
                <w:sz w:val="24"/>
                <w:szCs w:val="24"/>
                <w:lang w:val="en-US" w:eastAsia="zh-CN"/>
              </w:rPr>
              <w:t>部分信息可脱敏处理）</w:t>
            </w:r>
            <w:r>
              <w:rPr>
                <w:rFonts w:hint="eastAsia" w:ascii="宋体" w:hAnsi="宋体" w:eastAsia="宋体" w:cs="宋体"/>
                <w:color w:val="auto"/>
                <w:sz w:val="24"/>
                <w:szCs w:val="24"/>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1593" w:type="dxa"/>
            <w:noWrap w:val="0"/>
            <w:vAlign w:val="center"/>
          </w:tcPr>
          <w:p>
            <w:pPr>
              <w:pStyle w:val="9"/>
              <w:spacing w:line="5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服务团队</w:t>
            </w:r>
          </w:p>
        </w:tc>
        <w:tc>
          <w:tcPr>
            <w:tcW w:w="1068" w:type="dxa"/>
            <w:noWrap w:val="0"/>
            <w:vAlign w:val="center"/>
          </w:tcPr>
          <w:p>
            <w:pPr>
              <w:pStyle w:val="9"/>
              <w:spacing w:line="5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15</w:t>
            </w:r>
            <w:r>
              <w:rPr>
                <w:rFonts w:hint="eastAsia" w:ascii="宋体" w:hAnsi="宋体" w:eastAsia="宋体" w:cs="宋体"/>
                <w:color w:val="auto"/>
                <w:sz w:val="24"/>
                <w:szCs w:val="24"/>
                <w:lang w:val="en-US" w:eastAsia="zh-CN"/>
              </w:rPr>
              <w:t>分</w:t>
            </w:r>
          </w:p>
        </w:tc>
        <w:tc>
          <w:tcPr>
            <w:tcW w:w="6557" w:type="dxa"/>
            <w:noWrap w:val="0"/>
            <w:vAlign w:val="center"/>
          </w:tcPr>
          <w:p>
            <w:pPr>
              <w:pStyle w:val="9"/>
              <w:spacing w:line="5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1.投标人为项目投入不少于2名专职服务人员，</w:t>
            </w:r>
            <w:r>
              <w:rPr>
                <w:rFonts w:hint="eastAsia" w:ascii="宋体" w:hAnsi="宋体" w:cs="宋体"/>
                <w:color w:val="auto"/>
                <w:sz w:val="24"/>
                <w:szCs w:val="24"/>
                <w:lang w:val="en-US" w:eastAsia="zh-CN"/>
              </w:rPr>
              <w:t>其中项目负责人需为硕士研究生毕业，</w:t>
            </w:r>
            <w:r>
              <w:rPr>
                <w:rFonts w:hint="eastAsia" w:ascii="宋体" w:hAnsi="宋体" w:eastAsia="宋体" w:cs="宋体"/>
                <w:color w:val="auto"/>
                <w:sz w:val="24"/>
                <w:szCs w:val="24"/>
                <w:lang w:val="en-US" w:eastAsia="zh-CN"/>
              </w:rPr>
              <w:t>得基础分</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分，不足2名不得分。满足基础分后在成员数量、能力水平，具备一定人才服务相关工作经验等方面进行综合对比。</w:t>
            </w:r>
            <w:r>
              <w:rPr>
                <w:rFonts w:hint="eastAsia" w:ascii="宋体" w:hAnsi="宋体" w:cs="宋体"/>
                <w:color w:val="auto"/>
                <w:sz w:val="24"/>
                <w:szCs w:val="24"/>
                <w:lang w:val="en-US" w:eastAsia="zh-CN"/>
              </w:rPr>
              <w:t>其中，</w:t>
            </w:r>
            <w:r>
              <w:rPr>
                <w:rFonts w:hint="eastAsia" w:ascii="宋体" w:hAnsi="宋体" w:eastAsia="宋体" w:cs="宋体"/>
                <w:color w:val="auto"/>
                <w:sz w:val="24"/>
                <w:szCs w:val="24"/>
                <w:lang w:val="en-US" w:eastAsia="zh-CN"/>
              </w:rPr>
              <w:t>如投入的专职服务人员有人才服务项目相关经验，每名人员多加1分，此项满分10分。</w:t>
            </w:r>
          </w:p>
          <w:p>
            <w:pPr>
              <w:pStyle w:val="10"/>
              <w:rPr>
                <w:rFonts w:hint="default"/>
                <w:lang w:val="en-US" w:eastAsia="zh-CN"/>
              </w:rPr>
            </w:pPr>
            <w:r>
              <w:rPr>
                <w:rFonts w:hint="eastAsia" w:ascii="宋体" w:hAnsi="宋体" w:eastAsia="宋体" w:cs="宋体"/>
                <w:color w:val="auto"/>
                <w:sz w:val="24"/>
                <w:szCs w:val="24"/>
                <w:lang w:val="en-US" w:eastAsia="zh-CN"/>
              </w:rPr>
              <w:t>2、团队成员每增加一名专职服务成员，加2.5分（本项最多加</w:t>
            </w:r>
            <w:r>
              <w:rPr>
                <w:rFonts w:hint="eastAsia" w:ascii="宋体" w:hAnsi="宋体" w:cs="宋体"/>
                <w:color w:val="auto"/>
                <w:sz w:val="24"/>
                <w:szCs w:val="24"/>
                <w:lang w:val="en-US" w:eastAsia="zh-CN"/>
              </w:rPr>
              <w:t>5分</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w:t>
            </w:r>
          </w:p>
        </w:tc>
      </w:tr>
    </w:tbl>
    <w:p>
      <w:pPr>
        <w:pStyle w:val="9"/>
        <w:numPr>
          <w:ilvl w:val="0"/>
          <w:numId w:val="0"/>
        </w:numPr>
        <w:spacing w:before="120" w:after="120" w:line="500" w:lineRule="exact"/>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val="en-US" w:eastAsia="zh-CN"/>
        </w:rPr>
        <w:t>（三）</w:t>
      </w:r>
      <w:r>
        <w:rPr>
          <w:rFonts w:hint="eastAsia" w:ascii="楷体_GB2312" w:hAnsi="楷体_GB2312" w:eastAsia="楷体_GB2312" w:cs="楷体_GB2312"/>
          <w:b w:val="0"/>
          <w:bCs w:val="0"/>
          <w:color w:val="auto"/>
          <w:sz w:val="32"/>
          <w:szCs w:val="32"/>
          <w:lang w:eastAsia="zh-CN"/>
        </w:rPr>
        <w:t>经济</w:t>
      </w:r>
      <w:r>
        <w:rPr>
          <w:rFonts w:hint="eastAsia" w:ascii="楷体_GB2312" w:hAnsi="楷体_GB2312" w:eastAsia="楷体_GB2312" w:cs="楷体_GB2312"/>
          <w:b w:val="0"/>
          <w:bCs w:val="0"/>
          <w:color w:val="auto"/>
          <w:sz w:val="32"/>
          <w:szCs w:val="32"/>
        </w:rPr>
        <w:t>部分</w:t>
      </w:r>
      <w:r>
        <w:rPr>
          <w:rFonts w:hint="eastAsia" w:ascii="楷体_GB2312" w:hAnsi="楷体_GB2312" w:eastAsia="楷体_GB2312" w:cs="楷体_GB2312"/>
          <w:b w:val="0"/>
          <w:bCs w:val="0"/>
          <w:color w:val="auto"/>
          <w:sz w:val="32"/>
          <w:szCs w:val="32"/>
          <w:lang w:val="en-US" w:eastAsia="zh-CN"/>
        </w:rPr>
        <w:t>（15分）</w:t>
      </w:r>
    </w:p>
    <w:tbl>
      <w:tblPr>
        <w:tblStyle w:val="7"/>
        <w:tblW w:w="920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038"/>
        <w:gridCol w:w="6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12" w:type="dxa"/>
            <w:noWrap w:val="0"/>
            <w:vAlign w:val="center"/>
          </w:tcPr>
          <w:p>
            <w:pPr>
              <w:widowControl w:val="0"/>
              <w:spacing w:line="240" w:lineRule="exact"/>
              <w:jc w:val="center"/>
              <w:rPr>
                <w:rFonts w:ascii="仿宋_GB2312" w:hAnsi="仿宋_GB2312" w:eastAsia="仿宋_GB2312" w:cs="仿宋_GB2312"/>
                <w:b/>
                <w:bCs w:val="0"/>
                <w:color w:val="auto"/>
                <w:sz w:val="32"/>
                <w:szCs w:val="32"/>
                <w:shd w:val="clear" w:color="auto" w:fill="FFFFFF"/>
              </w:rPr>
            </w:pPr>
            <w:r>
              <w:rPr>
                <w:rFonts w:hint="eastAsia" w:ascii="宋体" w:hAnsi="宋体" w:cs="宋体"/>
                <w:b/>
                <w:bCs/>
                <w:color w:val="auto"/>
                <w:sz w:val="24"/>
                <w:szCs w:val="24"/>
                <w:lang w:val="zh-CN"/>
              </w:rPr>
              <w:t>评审项目</w:t>
            </w:r>
          </w:p>
        </w:tc>
        <w:tc>
          <w:tcPr>
            <w:tcW w:w="1038" w:type="dxa"/>
            <w:noWrap w:val="0"/>
            <w:vAlign w:val="center"/>
          </w:tcPr>
          <w:p>
            <w:pPr>
              <w:widowControl w:val="0"/>
              <w:spacing w:line="240" w:lineRule="exact"/>
              <w:jc w:val="center"/>
              <w:rPr>
                <w:rFonts w:ascii="仿宋_GB2312" w:hAnsi="仿宋_GB2312" w:eastAsia="仿宋_GB2312" w:cs="仿宋_GB2312"/>
                <w:b/>
                <w:bCs w:val="0"/>
                <w:color w:val="auto"/>
                <w:sz w:val="32"/>
                <w:szCs w:val="32"/>
                <w:shd w:val="clear" w:color="auto" w:fill="FFFFFF"/>
              </w:rPr>
            </w:pPr>
            <w:r>
              <w:rPr>
                <w:rFonts w:hint="eastAsia" w:ascii="宋体" w:hAnsi="宋体" w:eastAsia="宋体" w:cs="宋体"/>
                <w:b/>
                <w:bCs/>
                <w:color w:val="auto"/>
                <w:sz w:val="24"/>
                <w:szCs w:val="24"/>
                <w:lang w:val="zh-CN" w:eastAsia="zh-CN" w:bidi="ar-SA"/>
              </w:rPr>
              <w:t>分值</w:t>
            </w:r>
          </w:p>
        </w:tc>
        <w:tc>
          <w:tcPr>
            <w:tcW w:w="6658" w:type="dxa"/>
            <w:noWrap w:val="0"/>
            <w:vAlign w:val="center"/>
          </w:tcPr>
          <w:p>
            <w:pPr>
              <w:widowControl w:val="0"/>
              <w:spacing w:line="240" w:lineRule="exact"/>
              <w:jc w:val="center"/>
              <w:rPr>
                <w:rFonts w:ascii="仿宋_GB2312" w:hAnsi="仿宋_GB2312" w:eastAsia="仿宋_GB2312" w:cs="仿宋_GB2312"/>
                <w:b/>
                <w:bCs w:val="0"/>
                <w:color w:val="auto"/>
                <w:sz w:val="32"/>
                <w:szCs w:val="32"/>
                <w:shd w:val="clear" w:color="auto" w:fill="FFFFFF"/>
              </w:rPr>
            </w:pPr>
            <w:r>
              <w:rPr>
                <w:rFonts w:hint="eastAsia" w:ascii="宋体" w:hAnsi="宋体" w:eastAsia="宋体" w:cs="宋体"/>
                <w:b/>
                <w:bCs/>
                <w:color w:val="auto"/>
                <w:sz w:val="24"/>
                <w:szCs w:val="24"/>
                <w:lang w:val="zh-CN" w:eastAsia="zh-CN" w:bidi="ar-SA"/>
              </w:rPr>
              <w:t>评分细则及分值范围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1512" w:type="dxa"/>
            <w:noWrap w:val="0"/>
            <w:vAlign w:val="center"/>
          </w:tcPr>
          <w:p>
            <w:pPr>
              <w:widowControl w:val="0"/>
              <w:spacing w:line="0" w:lineRule="atLeast"/>
              <w:jc w:val="center"/>
              <w:rPr>
                <w:rFonts w:ascii="仿宋_GB2312" w:hAnsi="仿宋_GB2312" w:eastAsia="仿宋_GB2312" w:cs="仿宋_GB2312"/>
                <w:color w:val="auto"/>
                <w:sz w:val="24"/>
              </w:rPr>
            </w:pPr>
            <w:r>
              <w:rPr>
                <w:rFonts w:hint="eastAsia" w:ascii="宋体" w:hAnsi="宋体" w:eastAsia="宋体" w:cs="宋体"/>
                <w:bCs/>
                <w:color w:val="auto"/>
                <w:sz w:val="24"/>
                <w:szCs w:val="24"/>
                <w:lang w:val="zh-CN" w:eastAsia="zh-CN" w:bidi="ar-SA"/>
              </w:rPr>
              <w:t>投标价格</w:t>
            </w:r>
          </w:p>
        </w:tc>
        <w:tc>
          <w:tcPr>
            <w:tcW w:w="1038" w:type="dxa"/>
            <w:noWrap w:val="0"/>
            <w:vAlign w:val="center"/>
          </w:tcPr>
          <w:p>
            <w:pPr>
              <w:widowControl w:val="0"/>
              <w:spacing w:line="276" w:lineRule="auto"/>
              <w:jc w:val="center"/>
              <w:rPr>
                <w:rFonts w:ascii="仿宋_GB2312" w:hAnsi="仿宋_GB2312" w:eastAsia="仿宋_GB2312" w:cs="仿宋_GB2312"/>
                <w:color w:val="auto"/>
                <w:sz w:val="24"/>
                <w:szCs w:val="24"/>
              </w:rPr>
            </w:pPr>
            <w:r>
              <w:rPr>
                <w:rFonts w:hint="eastAsia" w:ascii="宋体" w:hAnsi="宋体" w:eastAsia="宋体" w:cs="宋体"/>
                <w:color w:val="auto"/>
                <w:sz w:val="24"/>
                <w:szCs w:val="24"/>
                <w:lang w:val="en-US" w:eastAsia="zh-CN" w:bidi="ar-SA"/>
              </w:rPr>
              <w:t>15分</w:t>
            </w:r>
          </w:p>
        </w:tc>
        <w:tc>
          <w:tcPr>
            <w:tcW w:w="6658" w:type="dxa"/>
            <w:noWrap w:val="0"/>
            <w:vAlign w:val="center"/>
          </w:tcPr>
          <w:p>
            <w:pPr>
              <w:pStyle w:val="9"/>
              <w:spacing w:line="50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各投标人的投标报价得分按以下公式进行计算：</w:t>
            </w:r>
          </w:p>
          <w:p>
            <w:pPr>
              <w:pStyle w:val="9"/>
              <w:spacing w:line="50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投标报价得分=（评标基准价/投标报价）×价格指标权重×100；</w:t>
            </w:r>
          </w:p>
          <w:p>
            <w:pPr>
              <w:pStyle w:val="9"/>
              <w:spacing w:line="50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评标基准价：满足招标文件要求且投标价格最低的投标报价，其价格分为满分。</w:t>
            </w:r>
          </w:p>
          <w:p>
            <w:pPr>
              <w:pStyle w:val="10"/>
              <w:rPr>
                <w:color w:val="auto"/>
              </w:rPr>
            </w:pPr>
            <w:r>
              <w:rPr>
                <w:rFonts w:hint="eastAsia" w:ascii="宋体" w:hAnsi="宋体" w:eastAsia="宋体" w:cs="宋体"/>
                <w:color w:val="auto"/>
                <w:sz w:val="24"/>
                <w:szCs w:val="24"/>
                <w:lang w:val="zh-CN"/>
              </w:rPr>
              <w:t>注：价格分计算保留小数点后二位。</w:t>
            </w:r>
          </w:p>
        </w:tc>
      </w:tr>
    </w:tbl>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tc">
    <w:altName w:val="Microsoft JhengHei UI Light"/>
    <w:panose1 w:val="020B0400000000000000"/>
    <w:charset w:val="88"/>
    <w:family w:val="auto"/>
    <w:pitch w:val="default"/>
    <w:sig w:usb0="00000000" w:usb1="00000000" w:usb2="00000017" w:usb3="00000000" w:csb0="00100001" w:csb1="00000000"/>
  </w:font>
  <w:font w:name="方正小标宋简体">
    <w:altName w:val="黑体"/>
    <w:panose1 w:val="02000000000000000000"/>
    <w:charset w:val="86"/>
    <w:family w:val="script"/>
    <w:pitch w:val="default"/>
    <w:sig w:usb0="00000000" w:usb1="00000000" w:usb2="00000000" w:usb3="00000000" w:csb0="00040000" w:csb1="00000000"/>
  </w:font>
  <w:font w:name="仿宋_GB2312">
    <w:altName w:val="仿宋"/>
    <w:panose1 w:val="02010609030101010101"/>
    <w:charset w:val="00"/>
    <w:family w:val="modern"/>
    <w:pitch w:val="default"/>
    <w:sig w:usb0="00000000" w:usb1="0000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字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字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DH4twvEwIAABMEAAAOAAAAAAAAAAEA&#10;IAAAAB8BAABkcnMvZTJvRG9jLnhtbFBLBQYAAAAABgAGAFkBAACk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rPr>
        <w:rFonts w:hint="default"/>
        <w:lang w:val="en-US"/>
      </w:rPr>
    </w:pPr>
    <w:r>
      <w:rPr>
        <w:rFonts w:hint="eastAsia"/>
        <w:sz w:val="24"/>
        <w:szCs w:val="24"/>
        <w:lang w:val="en-US" w:eastAsia="zh-CN"/>
      </w:rPr>
      <w:t>附件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DB1025"/>
    <w:rsid w:val="124E32B5"/>
    <w:rsid w:val="1DF31781"/>
    <w:rsid w:val="5F4A6E5C"/>
    <w:rsid w:val="AFE35334"/>
    <w:rsid w:val="B2DBE87D"/>
    <w:rsid w:val="FEDB1025"/>
    <w:rsid w:val="FFA5D933"/>
    <w:rsid w:val="FFDE76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rPr>
      <w:rFonts w:eastAsia="宋体"/>
    </w:rPr>
  </w:style>
  <w:style w:type="paragraph" w:styleId="3">
    <w:name w:val="footer"/>
    <w:basedOn w:val="1"/>
    <w:uiPriority w:val="0"/>
    <w:pPr>
      <w:tabs>
        <w:tab w:val="center" w:pos="4153"/>
        <w:tab w:val="right" w:pos="8306"/>
      </w:tabs>
      <w:snapToGrid w:val="0"/>
    </w:pPr>
    <w:rPr>
      <w:sz w:val="20"/>
    </w:rPr>
  </w:style>
  <w:style w:type="paragraph" w:styleId="4">
    <w:name w:val="header"/>
    <w:basedOn w:val="1"/>
    <w:uiPriority w:val="0"/>
    <w:pPr>
      <w:tabs>
        <w:tab w:val="center" w:pos="4153"/>
        <w:tab w:val="right" w:pos="8306"/>
      </w:tabs>
      <w:snapToGrid w:val="0"/>
      <w:jc w:val="both"/>
    </w:pPr>
    <w:rPr>
      <w:sz w:val="20"/>
    </w:rPr>
  </w:style>
  <w:style w:type="paragraph" w:styleId="5">
    <w:name w:val="Body Text First Indent"/>
    <w:basedOn w:val="2"/>
    <w:unhideWhenUsed/>
    <w:qFormat/>
    <w:uiPriority w:val="99"/>
    <w:pPr>
      <w:ind w:firstLine="420" w:firstLineChars="1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11"/>
    <w:next w:val="1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0">
    <w:name w:val="目录 11"/>
    <w:basedOn w:val="9"/>
    <w:next w:val="9"/>
    <w:qFormat/>
    <w:uiPriority w:val="0"/>
    <w:pPr>
      <w:tabs>
        <w:tab w:val="right" w:leader="dot" w:pos="9060"/>
      </w:tabs>
      <w:spacing w:line="360" w:lineRule="auto"/>
    </w:pPr>
    <w:rPr>
      <w:rFonts w:ascii="Times New Roman" w:hAnsi="Times New Roman"/>
      <w:sz w:val="24"/>
      <w:szCs w:val="24"/>
    </w:rPr>
  </w:style>
  <w:style w:type="paragraph" w:customStyle="1" w:styleId="11">
    <w:name w:val="p1"/>
    <w:qFormat/>
    <w:uiPriority w:val="0"/>
    <w:pPr>
      <w:spacing w:before="0" w:beforeAutospacing="0" w:after="0" w:afterAutospacing="0"/>
      <w:ind w:left="0" w:right="0"/>
      <w:jc w:val="left"/>
    </w:pPr>
    <w:rPr>
      <w:rFonts w:ascii="pingfang tc" w:hAnsi="pingfang tc" w:eastAsia="pingfang tc" w:cs="pingfang tc"/>
      <w:color w:val="000000"/>
      <w:kern w:val="0"/>
      <w:sz w:val="28"/>
      <w:szCs w:val="28"/>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15</TotalTime>
  <ScaleCrop>false</ScaleCrop>
  <LinksUpToDate>false</LinksUpToDate>
  <CharactersWithSpaces>0</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2025-09-20T23:21:00Z</dcterms:created>
  <dc:creator>吴程琳</dc:creator>
  <cp:lastModifiedBy>zwcaib</cp:lastModifiedBy>
  <dcterms:modified xsi:type="dcterms:W3CDTF">2025-09-22T07:48:07Z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y fmtid="{D5CDD505-2E9C-101B-9397-08002B2CF9AE}" pid="3" name="ICV">
    <vt:lpwstr>08D396830D646AFAF755CE68F92FE2D8_41</vt:lpwstr>
  </property>
</Properties>
</file>