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fixed"/>
        <w:tblCellMar>
          <w:top w:w="0" w:type="dxa"/>
          <w:left w:w="0" w:type="dxa"/>
          <w:bottom w:w="0" w:type="dxa"/>
          <w:right w:w="0" w:type="dxa"/>
        </w:tblCellMar>
      </w:tblPr>
      <w:tblGrid>
        <w:gridCol w:w="487"/>
        <w:gridCol w:w="993"/>
        <w:gridCol w:w="6215"/>
      </w:tblGrid>
      <w:tr>
        <w:tblPrEx>
          <w:tblCellMar>
            <w:top w:w="0" w:type="dxa"/>
            <w:left w:w="0" w:type="dxa"/>
            <w:bottom w:w="0" w:type="dxa"/>
            <w:right w:w="0" w:type="dxa"/>
          </w:tblCellMar>
        </w:tblPrEx>
        <w:trPr>
          <w:trHeight w:val="285" w:hRule="atLeast"/>
          <w:jc w:val="center"/>
        </w:trPr>
        <w:tc>
          <w:tcPr>
            <w:tcW w:w="48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sz w:val="21"/>
                <w:szCs w:val="21"/>
              </w:rPr>
            </w:pPr>
            <w:r>
              <w:rPr>
                <w:rFonts w:hint="eastAsia" w:ascii="仿宋" w:hAnsi="仿宋" w:cs="仿宋"/>
                <w:b/>
                <w:bCs/>
                <w:color w:val="000000"/>
                <w:kern w:val="0"/>
                <w:sz w:val="21"/>
                <w:szCs w:val="21"/>
                <w:lang w:bidi="ar"/>
              </w:rPr>
              <w:t>序号</w:t>
            </w:r>
          </w:p>
        </w:tc>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sz w:val="21"/>
                <w:szCs w:val="21"/>
              </w:rPr>
            </w:pPr>
            <w:r>
              <w:rPr>
                <w:rFonts w:hint="eastAsia" w:ascii="仿宋" w:hAnsi="仿宋" w:cs="仿宋"/>
                <w:b/>
                <w:bCs/>
                <w:color w:val="000000"/>
                <w:kern w:val="0"/>
                <w:sz w:val="21"/>
                <w:szCs w:val="21"/>
                <w:lang w:bidi="ar"/>
              </w:rPr>
              <w:t>评审项目</w:t>
            </w:r>
          </w:p>
        </w:tc>
        <w:tc>
          <w:tcPr>
            <w:tcW w:w="62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sz w:val="21"/>
                <w:szCs w:val="21"/>
              </w:rPr>
            </w:pPr>
            <w:r>
              <w:rPr>
                <w:rFonts w:hint="eastAsia" w:ascii="仿宋" w:hAnsi="仿宋" w:cs="仿宋"/>
                <w:b/>
                <w:bCs/>
                <w:color w:val="000000"/>
                <w:kern w:val="0"/>
                <w:sz w:val="21"/>
                <w:szCs w:val="21"/>
                <w:lang w:bidi="ar"/>
              </w:rPr>
              <w:t>详细评审内容</w:t>
            </w:r>
          </w:p>
        </w:tc>
      </w:tr>
      <w:tr>
        <w:tblPrEx>
          <w:tblCellMar>
            <w:top w:w="0" w:type="dxa"/>
            <w:left w:w="0" w:type="dxa"/>
            <w:bottom w:w="0" w:type="dxa"/>
            <w:right w:w="0" w:type="dxa"/>
          </w:tblCellMar>
        </w:tblPrEx>
        <w:trPr>
          <w:trHeight w:val="285" w:hRule="atLeast"/>
          <w:jc w:val="center"/>
        </w:trPr>
        <w:tc>
          <w:tcPr>
            <w:tcW w:w="7695"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b/>
                <w:bCs/>
                <w:color w:val="000000"/>
                <w:kern w:val="0"/>
                <w:sz w:val="21"/>
                <w:szCs w:val="21"/>
                <w:lang w:val="en-US" w:eastAsia="zh-CN" w:bidi="ar"/>
              </w:rPr>
            </w:pPr>
            <w:r>
              <w:rPr>
                <w:rFonts w:hint="eastAsia" w:ascii="仿宋" w:hAnsi="仿宋" w:cs="仿宋"/>
                <w:b/>
                <w:bCs/>
                <w:color w:val="000000"/>
                <w:kern w:val="0"/>
                <w:sz w:val="21"/>
                <w:szCs w:val="21"/>
                <w:lang w:val="en-US" w:eastAsia="zh-CN" w:bidi="ar"/>
              </w:rPr>
              <w:t>1、技术部分（50分）</w:t>
            </w:r>
          </w:p>
        </w:tc>
      </w:tr>
      <w:tr>
        <w:tblPrEx>
          <w:tblCellMar>
            <w:top w:w="0" w:type="dxa"/>
            <w:left w:w="0" w:type="dxa"/>
            <w:bottom w:w="0" w:type="dxa"/>
            <w:right w:w="0" w:type="dxa"/>
          </w:tblCellMar>
        </w:tblPrEx>
        <w:trPr>
          <w:trHeight w:val="5695"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cs="仿宋"/>
                <w:b/>
                <w:bCs/>
                <w:color w:val="000000"/>
                <w:kern w:val="0"/>
                <w:sz w:val="21"/>
                <w:szCs w:val="21"/>
                <w:lang w:bidi="ar"/>
              </w:rPr>
              <w:t>项目需求分析</w:t>
            </w:r>
            <w:r>
              <w:rPr>
                <w:rFonts w:hint="eastAsia" w:ascii="仿宋" w:hAnsi="仿宋" w:cs="仿宋"/>
                <w:b/>
                <w:bCs/>
                <w:color w:val="000000"/>
                <w:kern w:val="0"/>
                <w:sz w:val="21"/>
                <w:szCs w:val="21"/>
                <w:lang w:eastAsia="zh-CN" w:bidi="ar"/>
              </w:rPr>
              <w:t>（</w:t>
            </w:r>
            <w:r>
              <w:rPr>
                <w:rFonts w:hint="eastAsia" w:ascii="仿宋" w:hAnsi="仿宋" w:cs="仿宋"/>
                <w:b/>
                <w:bCs/>
                <w:color w:val="000000"/>
                <w:kern w:val="0"/>
                <w:sz w:val="21"/>
                <w:szCs w:val="21"/>
                <w:lang w:val="en-US" w:eastAsia="zh-CN" w:bidi="ar"/>
              </w:rPr>
              <w:t>10.0分</w:t>
            </w:r>
            <w:r>
              <w:rPr>
                <w:rFonts w:hint="eastAsia" w:ascii="仿宋" w:hAnsi="仿宋" w:cs="仿宋"/>
                <w:b/>
                <w:bCs/>
                <w:color w:val="000000"/>
                <w:kern w:val="0"/>
                <w:sz w:val="21"/>
                <w:szCs w:val="21"/>
                <w:lang w:eastAsia="zh-CN" w:bidi="ar"/>
              </w:rPr>
              <w:t>）</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对是否深刻理解项目背景</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项目需求分析是否准确透彻、条理清晰；对项目重点与难点的分析</w:t>
            </w:r>
            <w:r>
              <w:rPr>
                <w:rFonts w:hint="eastAsia" w:ascii="仿宋" w:hAnsi="仿宋" w:cs="仿宋"/>
                <w:color w:val="000000"/>
                <w:kern w:val="0"/>
                <w:sz w:val="21"/>
                <w:szCs w:val="21"/>
                <w:lang w:eastAsia="zh-CN" w:bidi="ar"/>
              </w:rPr>
              <w:t>和把握</w:t>
            </w:r>
            <w:r>
              <w:rPr>
                <w:rFonts w:hint="eastAsia" w:ascii="仿宋" w:hAnsi="仿宋" w:cs="仿宋"/>
                <w:color w:val="000000"/>
                <w:kern w:val="0"/>
                <w:sz w:val="21"/>
                <w:szCs w:val="21"/>
                <w:lang w:bidi="ar"/>
              </w:rPr>
              <w:t xml:space="preserve">是否准确、有针对性，应对措施是否有效等进行评定： </w:t>
            </w:r>
          </w:p>
          <w:p>
            <w:pPr>
              <w:widowControl/>
              <w:numPr>
                <w:ilvl w:val="0"/>
                <w:numId w:val="1"/>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对项目目标理解深刻，需求分析准确透彻、条理清晰，对项目重点与难点分析准确，应对措施有效、有针对性，得</w:t>
            </w:r>
            <w:r>
              <w:rPr>
                <w:rFonts w:hint="eastAsia" w:ascii="仿宋" w:hAnsi="仿宋" w:cs="仿宋"/>
                <w:color w:val="000000"/>
                <w:kern w:val="0"/>
                <w:sz w:val="21"/>
                <w:szCs w:val="21"/>
                <w:lang w:val="en-US" w:eastAsia="zh-CN" w:bidi="ar"/>
              </w:rPr>
              <w:t>10</w:t>
            </w:r>
            <w:r>
              <w:rPr>
                <w:rFonts w:hint="eastAsia" w:ascii="仿宋" w:hAnsi="仿宋" w:cs="仿宋"/>
                <w:color w:val="000000"/>
                <w:kern w:val="0"/>
                <w:sz w:val="21"/>
                <w:szCs w:val="21"/>
                <w:lang w:bidi="ar"/>
              </w:rPr>
              <w:t>分；</w:t>
            </w:r>
          </w:p>
          <w:p>
            <w:pPr>
              <w:widowControl/>
              <w:numPr>
                <w:ilvl w:val="0"/>
                <w:numId w:val="1"/>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 xml:space="preserve"> 对项目目标理解较为深刻，需求分析较为准确透彻、条理较为清晰，对项目重点与难点分析</w:t>
            </w:r>
            <w:r>
              <w:rPr>
                <w:rFonts w:hint="eastAsia" w:ascii="仿宋" w:hAnsi="仿宋" w:cs="仿宋"/>
                <w:color w:val="000000"/>
                <w:kern w:val="0"/>
                <w:sz w:val="21"/>
                <w:szCs w:val="21"/>
                <w:lang w:eastAsia="zh-CN" w:bidi="ar"/>
              </w:rPr>
              <w:t>较为</w:t>
            </w:r>
            <w:r>
              <w:rPr>
                <w:rFonts w:hint="eastAsia" w:ascii="仿宋" w:hAnsi="仿宋" w:cs="仿宋"/>
                <w:color w:val="000000"/>
                <w:kern w:val="0"/>
                <w:sz w:val="21"/>
                <w:szCs w:val="21"/>
                <w:lang w:bidi="ar"/>
              </w:rPr>
              <w:t xml:space="preserve">准确，应对措施有效，得7分； </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3</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对项目目标理解程度一般，需求分析不够准确透彻、条理不够清晰，对项目重点和难点分析不够准确，应对措施基本有效，得4分</w:t>
            </w:r>
            <w:r>
              <w:rPr>
                <w:rFonts w:hint="eastAsia" w:ascii="仿宋" w:hAnsi="仿宋" w:cs="仿宋"/>
                <w:color w:val="000000"/>
                <w:kern w:val="0"/>
                <w:sz w:val="21"/>
                <w:szCs w:val="21"/>
                <w:lang w:eastAsia="zh-CN" w:bidi="ar"/>
              </w:rPr>
              <w:t>；</w:t>
            </w:r>
          </w:p>
          <w:p>
            <w:pPr>
              <w:widowControl/>
              <w:numPr>
                <w:ilvl w:val="0"/>
                <w:numId w:val="0"/>
              </w:numPr>
              <w:jc w:val="left"/>
              <w:textAlignment w:val="center"/>
              <w:rPr>
                <w:rFonts w:hint="eastAsia" w:ascii="仿宋" w:hAnsi="仿宋" w:cs="仿宋"/>
                <w:color w:val="000000"/>
                <w:kern w:val="0"/>
                <w:sz w:val="21"/>
                <w:szCs w:val="21"/>
                <w:lang w:eastAsia="zh-CN" w:bidi="ar"/>
              </w:rPr>
            </w:pP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4</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对项目目标理解较差，需求分析不准确、条理不清晰，对项目重点和难点分析不准确，应对措施不全面，得1分</w:t>
            </w:r>
            <w:r>
              <w:rPr>
                <w:rFonts w:hint="eastAsia" w:ascii="仿宋" w:hAnsi="仿宋" w:cs="仿宋"/>
                <w:color w:val="000000"/>
                <w:kern w:val="0"/>
                <w:sz w:val="21"/>
                <w:szCs w:val="21"/>
                <w:lang w:eastAsia="zh-CN" w:bidi="ar"/>
              </w:rPr>
              <w:t>；</w:t>
            </w:r>
          </w:p>
          <w:p>
            <w:pPr>
              <w:widowControl/>
              <w:numPr>
                <w:ilvl w:val="0"/>
                <w:numId w:val="0"/>
              </w:numPr>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5</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未提供相关内容不得分。</w:t>
            </w:r>
          </w:p>
        </w:tc>
      </w:tr>
      <w:tr>
        <w:tblPrEx>
          <w:tblCellMar>
            <w:top w:w="0" w:type="dxa"/>
            <w:left w:w="0" w:type="dxa"/>
            <w:bottom w:w="0" w:type="dxa"/>
            <w:right w:w="0" w:type="dxa"/>
          </w:tblCellMar>
        </w:tblPrEx>
        <w:trPr>
          <w:trHeight w:val="468"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2</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运维服务整体方案 (</w:t>
            </w:r>
            <w:r>
              <w:rPr>
                <w:rFonts w:hint="eastAsia" w:ascii="仿宋" w:hAnsi="仿宋" w:cs="仿宋"/>
                <w:b/>
                <w:bCs/>
                <w:color w:val="000000"/>
                <w:kern w:val="0"/>
                <w:sz w:val="21"/>
                <w:szCs w:val="21"/>
                <w:lang w:val="en-US" w:eastAsia="zh-CN" w:bidi="ar"/>
              </w:rPr>
              <w:t>15</w:t>
            </w:r>
            <w:r>
              <w:rPr>
                <w:rFonts w:hint="eastAsia" w:ascii="仿宋" w:hAnsi="仿宋" w:cs="仿宋"/>
                <w:b/>
                <w:bCs/>
                <w:color w:val="000000"/>
                <w:kern w:val="0"/>
                <w:sz w:val="21"/>
                <w:szCs w:val="21"/>
                <w:lang w:bidi="ar"/>
              </w:rPr>
              <w:t>.0分)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根据维护方案的细化、详细程度，是否能概括所有</w:t>
            </w:r>
            <w:r>
              <w:rPr>
                <w:rFonts w:hint="eastAsia" w:ascii="仿宋" w:hAnsi="仿宋" w:cs="仿宋"/>
                <w:b w:val="0"/>
                <w:bCs w:val="0"/>
                <w:color w:val="000000"/>
                <w:kern w:val="0"/>
                <w:sz w:val="21"/>
                <w:szCs w:val="21"/>
                <w:lang w:eastAsia="zh-CN" w:bidi="ar"/>
              </w:rPr>
              <w:t>系统</w:t>
            </w:r>
            <w:r>
              <w:rPr>
                <w:rFonts w:hint="eastAsia" w:ascii="仿宋" w:hAnsi="仿宋" w:cs="仿宋"/>
                <w:b w:val="0"/>
                <w:bCs w:val="0"/>
                <w:color w:val="000000"/>
                <w:kern w:val="0"/>
                <w:sz w:val="21"/>
                <w:szCs w:val="21"/>
                <w:lang w:bidi="ar"/>
              </w:rPr>
              <w:t>的日常维护需求，是否具备实用性，总体方案的合理程度、科学性等情况等进行评定：</w:t>
            </w:r>
          </w:p>
          <w:p>
            <w:pPr>
              <w:widowControl/>
              <w:numPr>
                <w:ilvl w:val="0"/>
                <w:numId w:val="2"/>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维护方案详尽细化、概括所有运维服务内容的日常维护需求，且方案具有实用性和针对性，得</w:t>
            </w:r>
            <w:r>
              <w:rPr>
                <w:rFonts w:hint="eastAsia" w:ascii="仿宋" w:hAnsi="仿宋" w:cs="仿宋"/>
                <w:b w:val="0"/>
                <w:bCs w:val="0"/>
                <w:color w:val="000000"/>
                <w:kern w:val="0"/>
                <w:sz w:val="21"/>
                <w:szCs w:val="21"/>
                <w:lang w:val="en-US" w:eastAsia="zh-CN" w:bidi="ar"/>
              </w:rPr>
              <w:t>15</w:t>
            </w:r>
            <w:r>
              <w:rPr>
                <w:rFonts w:hint="eastAsia" w:ascii="仿宋" w:hAnsi="仿宋" w:cs="仿宋"/>
                <w:b w:val="0"/>
                <w:bCs w:val="0"/>
                <w:color w:val="000000"/>
                <w:kern w:val="0"/>
                <w:sz w:val="21"/>
                <w:szCs w:val="21"/>
                <w:lang w:bidi="ar"/>
              </w:rPr>
              <w:t>分；</w:t>
            </w:r>
          </w:p>
          <w:p>
            <w:pPr>
              <w:widowControl/>
              <w:numPr>
                <w:ilvl w:val="0"/>
                <w:numId w:val="2"/>
              </w:numPr>
              <w:jc w:val="left"/>
              <w:textAlignment w:val="center"/>
              <w:rPr>
                <w:rFonts w:hint="eastAsia" w:ascii="仿宋" w:hAnsi="仿宋" w:cs="仿宋"/>
                <w:b/>
                <w:bCs/>
                <w:color w:val="000000"/>
                <w:kern w:val="0"/>
                <w:sz w:val="21"/>
                <w:szCs w:val="21"/>
                <w:lang w:bidi="ar"/>
              </w:rPr>
            </w:pPr>
            <w:r>
              <w:rPr>
                <w:rFonts w:hint="eastAsia" w:ascii="仿宋" w:hAnsi="仿宋" w:cs="仿宋"/>
                <w:b w:val="0"/>
                <w:bCs w:val="0"/>
                <w:color w:val="000000"/>
                <w:kern w:val="0"/>
                <w:sz w:val="21"/>
                <w:szCs w:val="21"/>
                <w:lang w:bidi="ar"/>
              </w:rPr>
              <w:t>维护方案完整、概括所有运维服务内容的日常维护需求，但方案缺乏针对性，得</w:t>
            </w:r>
            <w:r>
              <w:rPr>
                <w:rFonts w:hint="eastAsia" w:ascii="仿宋" w:hAnsi="仿宋" w:cs="仿宋"/>
                <w:b w:val="0"/>
                <w:bCs w:val="0"/>
                <w:color w:val="000000"/>
                <w:kern w:val="0"/>
                <w:sz w:val="21"/>
                <w:szCs w:val="21"/>
                <w:lang w:val="en-US" w:eastAsia="zh-CN" w:bidi="ar"/>
              </w:rPr>
              <w:t>12</w:t>
            </w:r>
            <w:r>
              <w:rPr>
                <w:rFonts w:hint="eastAsia" w:ascii="仿宋" w:hAnsi="仿宋" w:cs="仿宋"/>
                <w:b w:val="0"/>
                <w:bCs w:val="0"/>
                <w:color w:val="000000"/>
                <w:kern w:val="0"/>
                <w:sz w:val="21"/>
                <w:szCs w:val="21"/>
                <w:lang w:bidi="ar"/>
              </w:rPr>
              <w:t>分；</w:t>
            </w:r>
          </w:p>
          <w:p>
            <w:pPr>
              <w:widowControl/>
              <w:numPr>
                <w:ilvl w:val="0"/>
                <w:numId w:val="2"/>
              </w:numPr>
              <w:jc w:val="left"/>
              <w:textAlignment w:val="center"/>
              <w:rPr>
                <w:rFonts w:hint="eastAsia" w:ascii="仿宋" w:hAnsi="仿宋" w:cs="仿宋"/>
                <w:b/>
                <w:bCs/>
                <w:color w:val="000000"/>
                <w:kern w:val="0"/>
                <w:sz w:val="21"/>
                <w:szCs w:val="21"/>
                <w:lang w:bidi="ar"/>
              </w:rPr>
            </w:pPr>
            <w:r>
              <w:rPr>
                <w:rFonts w:hint="eastAsia" w:ascii="仿宋" w:hAnsi="仿宋" w:cs="仿宋"/>
                <w:b w:val="0"/>
                <w:bCs w:val="0"/>
                <w:color w:val="000000"/>
                <w:kern w:val="0"/>
                <w:sz w:val="21"/>
                <w:szCs w:val="21"/>
                <w:lang w:bidi="ar"/>
              </w:rPr>
              <w:t>维护方案片面、基本概括运维服务内容的日常维护需求，得</w:t>
            </w:r>
            <w:r>
              <w:rPr>
                <w:rFonts w:hint="eastAsia" w:ascii="仿宋" w:hAnsi="仿宋" w:cs="仿宋"/>
                <w:b w:val="0"/>
                <w:bCs w:val="0"/>
                <w:color w:val="000000"/>
                <w:kern w:val="0"/>
                <w:sz w:val="21"/>
                <w:szCs w:val="21"/>
                <w:lang w:val="en-US" w:eastAsia="zh-CN" w:bidi="ar"/>
              </w:rPr>
              <w:t>7</w:t>
            </w:r>
            <w:r>
              <w:rPr>
                <w:rFonts w:hint="eastAsia" w:ascii="仿宋" w:hAnsi="仿宋" w:cs="仿宋"/>
                <w:b w:val="0"/>
                <w:bCs w:val="0"/>
                <w:color w:val="000000"/>
                <w:kern w:val="0"/>
                <w:sz w:val="21"/>
                <w:szCs w:val="21"/>
                <w:lang w:bidi="ar"/>
              </w:rPr>
              <w:t>分；</w:t>
            </w:r>
          </w:p>
          <w:p>
            <w:pPr>
              <w:widowControl/>
              <w:numPr>
                <w:ilvl w:val="0"/>
                <w:numId w:val="2"/>
              </w:numPr>
              <w:jc w:val="left"/>
              <w:textAlignment w:val="center"/>
              <w:rPr>
                <w:rFonts w:hint="eastAsia" w:ascii="仿宋" w:hAnsi="仿宋" w:cs="仿宋"/>
                <w:b/>
                <w:bCs/>
                <w:color w:val="000000"/>
                <w:kern w:val="0"/>
                <w:sz w:val="21"/>
                <w:szCs w:val="21"/>
                <w:lang w:bidi="ar"/>
              </w:rPr>
            </w:pPr>
            <w:r>
              <w:rPr>
                <w:rFonts w:hint="eastAsia" w:ascii="仿宋" w:hAnsi="仿宋" w:cs="仿宋"/>
                <w:b w:val="0"/>
                <w:bCs w:val="0"/>
                <w:color w:val="000000"/>
                <w:kern w:val="0"/>
                <w:sz w:val="21"/>
                <w:szCs w:val="21"/>
                <w:lang w:bidi="ar"/>
              </w:rPr>
              <w:t>维护方案的内容不全面，未概括运维服务内容的日常维护需求等，得</w:t>
            </w:r>
            <w:r>
              <w:rPr>
                <w:rFonts w:hint="eastAsia" w:ascii="仿宋" w:hAnsi="仿宋" w:cs="仿宋"/>
                <w:b w:val="0"/>
                <w:bCs w:val="0"/>
                <w:color w:val="000000"/>
                <w:kern w:val="0"/>
                <w:sz w:val="21"/>
                <w:szCs w:val="21"/>
                <w:lang w:val="en-US" w:eastAsia="zh-CN" w:bidi="ar"/>
              </w:rPr>
              <w:t>3</w:t>
            </w:r>
            <w:r>
              <w:rPr>
                <w:rFonts w:hint="eastAsia" w:ascii="仿宋" w:hAnsi="仿宋" w:cs="仿宋"/>
                <w:b w:val="0"/>
                <w:bCs w:val="0"/>
                <w:color w:val="000000"/>
                <w:kern w:val="0"/>
                <w:sz w:val="21"/>
                <w:szCs w:val="21"/>
                <w:lang w:bidi="ar"/>
              </w:rPr>
              <w:t>分；</w:t>
            </w:r>
          </w:p>
          <w:p>
            <w:pPr>
              <w:widowControl/>
              <w:numPr>
                <w:ilvl w:val="0"/>
                <w:numId w:val="2"/>
              </w:numPr>
              <w:jc w:val="left"/>
              <w:textAlignment w:val="center"/>
              <w:rPr>
                <w:rFonts w:hint="eastAsia" w:ascii="仿宋" w:hAnsi="仿宋" w:cs="仿宋"/>
                <w:b/>
                <w:bCs/>
                <w:color w:val="000000"/>
                <w:kern w:val="0"/>
                <w:sz w:val="21"/>
                <w:szCs w:val="21"/>
                <w:lang w:bidi="ar"/>
              </w:rPr>
            </w:pPr>
            <w:r>
              <w:rPr>
                <w:rFonts w:hint="eastAsia" w:ascii="仿宋" w:hAnsi="仿宋" w:cs="仿宋"/>
                <w:b w:val="0"/>
                <w:bCs w:val="0"/>
                <w:color w:val="000000"/>
                <w:kern w:val="0"/>
                <w:sz w:val="21"/>
                <w:szCs w:val="21"/>
                <w:lang w:bidi="ar"/>
              </w:rPr>
              <w:t>未提供相关内容不得分。</w:t>
            </w: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cs="仿宋"/>
                <w:color w:val="000000"/>
                <w:sz w:val="21"/>
                <w:szCs w:val="21"/>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cs="仿宋"/>
                <w:color w:val="000000"/>
                <w:sz w:val="21"/>
                <w:szCs w:val="21"/>
              </w:rPr>
            </w:pPr>
          </w:p>
        </w:tc>
      </w:tr>
      <w:tr>
        <w:tblPrEx>
          <w:tblCellMar>
            <w:top w:w="0" w:type="dxa"/>
            <w:left w:w="0" w:type="dxa"/>
            <w:bottom w:w="0" w:type="dxa"/>
            <w:right w:w="0" w:type="dxa"/>
          </w:tblCellMar>
        </w:tblPrEx>
        <w:trPr>
          <w:trHeight w:val="2547"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cs="仿宋"/>
                <w:color w:val="000000"/>
                <w:sz w:val="21"/>
                <w:szCs w:val="21"/>
              </w:rPr>
            </w:pPr>
          </w:p>
        </w:tc>
      </w:tr>
      <w:tr>
        <w:tblPrEx>
          <w:tblCellMar>
            <w:top w:w="0" w:type="dxa"/>
            <w:left w:w="0" w:type="dxa"/>
            <w:bottom w:w="0" w:type="dxa"/>
            <w:right w:w="0" w:type="dxa"/>
          </w:tblCellMar>
        </w:tblPrEx>
        <w:trPr>
          <w:trHeight w:val="471"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3</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b/>
                <w:bCs/>
                <w:color w:val="000000"/>
                <w:kern w:val="0"/>
                <w:sz w:val="21"/>
                <w:szCs w:val="21"/>
                <w:lang w:bidi="ar"/>
              </w:rPr>
              <w:t>项目管理方案 (10.0分）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根据项目管理方案中的工作安排与计划、实施组织管理、项目保障措施、项目培训等内容进行评</w:t>
            </w:r>
            <w:r>
              <w:rPr>
                <w:rFonts w:hint="eastAsia" w:ascii="仿宋" w:hAnsi="仿宋" w:cs="仿宋"/>
                <w:b w:val="0"/>
                <w:bCs w:val="0"/>
                <w:color w:val="000000"/>
                <w:kern w:val="0"/>
                <w:sz w:val="21"/>
                <w:szCs w:val="21"/>
                <w:lang w:eastAsia="zh-CN" w:bidi="ar"/>
              </w:rPr>
              <w:t>定：</w:t>
            </w:r>
            <w:r>
              <w:rPr>
                <w:rFonts w:hint="eastAsia" w:ascii="仿宋" w:hAnsi="仿宋" w:cs="仿宋"/>
                <w:b w:val="0"/>
                <w:bCs w:val="0"/>
                <w:color w:val="000000"/>
                <w:kern w:val="0"/>
                <w:sz w:val="21"/>
                <w:szCs w:val="21"/>
                <w:lang w:bidi="ar"/>
              </w:rPr>
              <w:t xml:space="preserve"> </w:t>
            </w:r>
          </w:p>
          <w:p>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工作安排详细合理、描述准确，项目实施组织管理非常清晰，项目保障措施有力、培训方案清晰合理，得10分； </w:t>
            </w:r>
          </w:p>
          <w:p>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工作安排有一定针对性、描述较准确，项目实施组织管理良好，具备一定的项目保障措施，培训方案较合理，得7分； </w:t>
            </w:r>
          </w:p>
          <w:p>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工作安排具体，项目实施组织管理一般，项目保障措施薄弱，培训方案一般，得4分； </w:t>
            </w:r>
          </w:p>
          <w:p>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工作安排不具体，项目实施组织管理不够规范，无对应保障措施，培训方案不合理，得1分；</w:t>
            </w:r>
          </w:p>
          <w:p>
            <w:pPr>
              <w:widowControl/>
              <w:numPr>
                <w:ilvl w:val="0"/>
                <w:numId w:val="3"/>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未提供方案不得分。</w:t>
            </w: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1482"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4</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kern w:val="0"/>
                <w:sz w:val="21"/>
                <w:szCs w:val="21"/>
                <w:lang w:bidi="ar"/>
              </w:rPr>
            </w:pPr>
            <w:r>
              <w:rPr>
                <w:rFonts w:hint="eastAsia" w:ascii="仿宋" w:hAnsi="仿宋" w:cs="仿宋"/>
                <w:b/>
                <w:bCs/>
                <w:color w:val="000000"/>
                <w:kern w:val="0"/>
                <w:sz w:val="21"/>
                <w:szCs w:val="21"/>
                <w:lang w:bidi="ar"/>
              </w:rPr>
              <w:t>应急处理方案 (</w:t>
            </w:r>
            <w:r>
              <w:rPr>
                <w:rFonts w:hint="eastAsia" w:ascii="仿宋" w:hAnsi="仿宋" w:cs="仿宋"/>
                <w:b/>
                <w:bCs/>
                <w:color w:val="000000"/>
                <w:kern w:val="0"/>
                <w:sz w:val="21"/>
                <w:szCs w:val="21"/>
                <w:lang w:val="en-US" w:eastAsia="zh-CN" w:bidi="ar"/>
              </w:rPr>
              <w:t>10</w:t>
            </w:r>
            <w:r>
              <w:rPr>
                <w:rFonts w:hint="eastAsia" w:ascii="仿宋" w:hAnsi="仿宋" w:cs="仿宋"/>
                <w:b/>
                <w:bCs/>
                <w:color w:val="000000"/>
                <w:kern w:val="0"/>
                <w:sz w:val="21"/>
                <w:szCs w:val="21"/>
                <w:lang w:bidi="ar"/>
              </w:rPr>
              <w:t>.0分）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根据供应商提供的应急处理方案中的应急小组架构与职责、项目应急响应流程、应急处置预案、重要故障处置方案等的内容进行评定： （1）方案措施具体科学，应急小组架构与职责清晰，应急响应流程完善、处置预案合理、重要故障处置方案得当，方案详细完善，得</w:t>
            </w:r>
            <w:r>
              <w:rPr>
                <w:rFonts w:hint="eastAsia" w:ascii="仿宋" w:hAnsi="仿宋" w:cs="仿宋"/>
                <w:b w:val="0"/>
                <w:bCs w:val="0"/>
                <w:color w:val="000000"/>
                <w:kern w:val="0"/>
                <w:sz w:val="21"/>
                <w:szCs w:val="21"/>
                <w:highlight w:val="none"/>
                <w:lang w:eastAsia="zh-CN" w:bidi="ar"/>
              </w:rPr>
              <w:t>1</w:t>
            </w:r>
            <w:r>
              <w:rPr>
                <w:rFonts w:hint="eastAsia" w:ascii="仿宋" w:hAnsi="仿宋" w:cs="仿宋"/>
                <w:b w:val="0"/>
                <w:bCs w:val="0"/>
                <w:color w:val="000000"/>
                <w:kern w:val="0"/>
                <w:sz w:val="21"/>
                <w:szCs w:val="21"/>
                <w:highlight w:val="none"/>
                <w:lang w:val="en-US" w:eastAsia="zh-CN" w:bidi="ar"/>
              </w:rPr>
              <w:t>0</w:t>
            </w:r>
            <w:r>
              <w:rPr>
                <w:rFonts w:hint="eastAsia" w:ascii="仿宋" w:hAnsi="仿宋" w:cs="仿宋"/>
                <w:b w:val="0"/>
                <w:bCs w:val="0"/>
                <w:color w:val="000000"/>
                <w:kern w:val="0"/>
                <w:sz w:val="21"/>
                <w:szCs w:val="21"/>
                <w:highlight w:val="none"/>
                <w:lang w:bidi="ar"/>
              </w:rPr>
              <w:t xml:space="preserve">分； </w:t>
            </w:r>
          </w:p>
          <w:p>
            <w:pPr>
              <w:widowControl/>
              <w:numPr>
                <w:ilvl w:val="0"/>
                <w:numId w:val="0"/>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eastAsia="zh-CN" w:bidi="ar"/>
              </w:rPr>
              <w:t>（</w:t>
            </w:r>
            <w:r>
              <w:rPr>
                <w:rFonts w:hint="eastAsia" w:ascii="仿宋" w:hAnsi="仿宋" w:cs="仿宋"/>
                <w:b w:val="0"/>
                <w:bCs w:val="0"/>
                <w:color w:val="000000"/>
                <w:kern w:val="0"/>
                <w:sz w:val="21"/>
                <w:szCs w:val="21"/>
                <w:lang w:val="en-US" w:eastAsia="zh-CN" w:bidi="ar"/>
              </w:rPr>
              <w:t>2</w:t>
            </w:r>
            <w:r>
              <w:rPr>
                <w:rFonts w:hint="eastAsia" w:ascii="仿宋" w:hAnsi="仿宋" w:cs="仿宋"/>
                <w:b w:val="0"/>
                <w:bCs w:val="0"/>
                <w:color w:val="000000"/>
                <w:kern w:val="0"/>
                <w:sz w:val="21"/>
                <w:szCs w:val="21"/>
                <w:lang w:eastAsia="zh-CN" w:bidi="ar"/>
              </w:rPr>
              <w:t>）</w:t>
            </w:r>
            <w:r>
              <w:rPr>
                <w:rFonts w:hint="eastAsia" w:ascii="仿宋" w:hAnsi="仿宋" w:cs="仿宋"/>
                <w:b w:val="0"/>
                <w:bCs w:val="0"/>
                <w:color w:val="000000"/>
                <w:kern w:val="0"/>
                <w:sz w:val="21"/>
                <w:szCs w:val="21"/>
                <w:lang w:bidi="ar"/>
              </w:rPr>
              <w:t>方案措施较为科学，能制定突发事件的应急响应流程、应急处置预案、重要故障处置方案等内容，但方案部分内容不够具体，得</w:t>
            </w:r>
            <w:r>
              <w:rPr>
                <w:rFonts w:hint="eastAsia" w:ascii="仿宋" w:hAnsi="仿宋" w:cs="仿宋"/>
                <w:b w:val="0"/>
                <w:bCs w:val="0"/>
                <w:color w:val="000000"/>
                <w:kern w:val="0"/>
                <w:sz w:val="21"/>
                <w:szCs w:val="21"/>
                <w:lang w:val="en-US" w:eastAsia="zh-CN" w:bidi="ar"/>
              </w:rPr>
              <w:t>7</w:t>
            </w:r>
            <w:r>
              <w:rPr>
                <w:rFonts w:hint="eastAsia" w:ascii="仿宋" w:hAnsi="仿宋" w:cs="仿宋"/>
                <w:b w:val="0"/>
                <w:bCs w:val="0"/>
                <w:color w:val="000000"/>
                <w:kern w:val="0"/>
                <w:sz w:val="21"/>
                <w:szCs w:val="21"/>
                <w:lang w:bidi="ar"/>
              </w:rPr>
              <w:t xml:space="preserve">分； </w:t>
            </w:r>
          </w:p>
          <w:p>
            <w:pPr>
              <w:widowControl/>
              <w:numPr>
                <w:ilvl w:val="0"/>
                <w:numId w:val="1"/>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不能完整地制定突发事件的应急流程、应急处置预案、重要故障处置方案等，得4分； </w:t>
            </w:r>
          </w:p>
          <w:p>
            <w:pPr>
              <w:widowControl/>
              <w:numPr>
                <w:ilvl w:val="0"/>
                <w:numId w:val="1"/>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应急处理方案的内容不全面，未概括应急需求等，得1分； </w:t>
            </w:r>
          </w:p>
          <w:p>
            <w:pPr>
              <w:widowControl/>
              <w:numPr>
                <w:ilvl w:val="0"/>
                <w:numId w:val="1"/>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未提供相关内容不得分。</w:t>
            </w: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71" w:hRule="atLeast"/>
          <w:jc w:val="center"/>
        </w:trPr>
        <w:tc>
          <w:tcPr>
            <w:tcW w:w="4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5</w:t>
            </w:r>
          </w:p>
        </w:tc>
        <w:tc>
          <w:tcPr>
            <w:tcW w:w="9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color w:val="000000"/>
                <w:sz w:val="21"/>
                <w:szCs w:val="21"/>
              </w:rPr>
            </w:pPr>
            <w:r>
              <w:rPr>
                <w:rFonts w:hint="eastAsia" w:ascii="仿宋" w:hAnsi="仿宋" w:cs="仿宋"/>
                <w:b/>
                <w:bCs/>
                <w:color w:val="000000"/>
                <w:kern w:val="0"/>
                <w:sz w:val="21"/>
                <w:szCs w:val="21"/>
                <w:lang w:bidi="ar"/>
              </w:rPr>
              <w:t>服务保障承诺及服务便利性 (5.0分）</w:t>
            </w:r>
          </w:p>
        </w:tc>
        <w:tc>
          <w:tcPr>
            <w:tcW w:w="6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对供应商所提供的服务保障方案（包含服务点设置、服务计划、服务保障承诺等）进行综合评定：</w:t>
            </w:r>
          </w:p>
          <w:p>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提供的服务点设置最为便利，服务计划（含专门的服务电话、联系人等）、服务保障承诺等整体内容非常完善、响应时间迅速，得5分； </w:t>
            </w:r>
          </w:p>
          <w:p>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提供的服务点设置较为便利，服务计划（含专门的服务电话、联系人等）、服务保障承诺等整体内容较为完整、响应时间较为迅速，得3分； </w:t>
            </w:r>
          </w:p>
          <w:p>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提供的服务点设置便利，服务计划（含专门的服务电话、联系人等）、服务保障承诺等整体内容基本完整、响应时间一般，得2分； </w:t>
            </w:r>
          </w:p>
          <w:p>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 xml:space="preserve">提供的服务点设置不太便利，服务计划（含专门的服务电话、联系人等）、服务保障承诺等整体内容存在不符合磋商文件要求的情形，得1分； </w:t>
            </w:r>
          </w:p>
          <w:p>
            <w:pPr>
              <w:widowControl/>
              <w:numPr>
                <w:ilvl w:val="0"/>
                <w:numId w:val="4"/>
              </w:numPr>
              <w:jc w:val="left"/>
              <w:textAlignment w:val="center"/>
              <w:rPr>
                <w:rFonts w:hint="eastAsia" w:ascii="仿宋" w:hAnsi="仿宋" w:cs="仿宋"/>
                <w:b w:val="0"/>
                <w:bCs w:val="0"/>
                <w:color w:val="000000"/>
                <w:kern w:val="0"/>
                <w:sz w:val="21"/>
                <w:szCs w:val="21"/>
                <w:lang w:bidi="ar"/>
              </w:rPr>
            </w:pPr>
            <w:r>
              <w:rPr>
                <w:rFonts w:hint="eastAsia" w:ascii="仿宋" w:hAnsi="仿宋" w:cs="仿宋"/>
                <w:b w:val="0"/>
                <w:bCs w:val="0"/>
                <w:color w:val="000000"/>
                <w:kern w:val="0"/>
                <w:sz w:val="21"/>
                <w:szCs w:val="21"/>
                <w:lang w:bidi="ar"/>
              </w:rPr>
              <w:t>未提供方案不得分。</w:t>
            </w: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46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b w:val="0"/>
                <w:bCs w:val="0"/>
                <w:color w:val="000000"/>
                <w:kern w:val="0"/>
                <w:sz w:val="21"/>
                <w:szCs w:val="21"/>
                <w:lang w:bidi="ar"/>
              </w:rPr>
            </w:pPr>
          </w:p>
        </w:tc>
      </w:tr>
      <w:tr>
        <w:tblPrEx>
          <w:tblCellMar>
            <w:top w:w="0" w:type="dxa"/>
            <w:left w:w="0" w:type="dxa"/>
            <w:bottom w:w="0" w:type="dxa"/>
            <w:right w:w="0" w:type="dxa"/>
          </w:tblCellMar>
        </w:tblPrEx>
        <w:trPr>
          <w:trHeight w:val="3388" w:hRule="atLeast"/>
          <w:jc w:val="center"/>
        </w:trPr>
        <w:tc>
          <w:tcPr>
            <w:tcW w:w="4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cs="仿宋"/>
                <w:color w:val="000000"/>
                <w:sz w:val="21"/>
                <w:szCs w:val="21"/>
              </w:rPr>
            </w:pPr>
          </w:p>
        </w:tc>
        <w:tc>
          <w:tcPr>
            <w:tcW w:w="6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cs="仿宋"/>
                <w:color w:val="000000"/>
                <w:sz w:val="21"/>
                <w:szCs w:val="21"/>
              </w:rPr>
            </w:pPr>
          </w:p>
        </w:tc>
      </w:tr>
      <w:tr>
        <w:tblPrEx>
          <w:tblCellMar>
            <w:top w:w="0" w:type="dxa"/>
            <w:left w:w="0" w:type="dxa"/>
            <w:bottom w:w="0" w:type="dxa"/>
            <w:right w:w="0" w:type="dxa"/>
          </w:tblCellMar>
        </w:tblPrEx>
        <w:trPr>
          <w:trHeight w:val="285" w:hRule="atLeast"/>
          <w:jc w:val="center"/>
        </w:trPr>
        <w:tc>
          <w:tcPr>
            <w:tcW w:w="7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b/>
                <w:bCs/>
                <w:color w:val="000000"/>
                <w:kern w:val="0"/>
                <w:sz w:val="21"/>
                <w:szCs w:val="21"/>
                <w:lang w:bidi="ar"/>
              </w:rPr>
              <w:t>2、商务部分（40分）</w:t>
            </w:r>
          </w:p>
        </w:tc>
      </w:tr>
      <w:tr>
        <w:tblPrEx>
          <w:tblCellMar>
            <w:top w:w="0" w:type="dxa"/>
            <w:left w:w="0" w:type="dxa"/>
            <w:bottom w:w="0" w:type="dxa"/>
            <w:right w:w="0" w:type="dxa"/>
          </w:tblCellMar>
        </w:tblPrEx>
        <w:trPr>
          <w:trHeight w:val="1020"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highlight w:val="none"/>
                <w:lang w:val="en-US" w:eastAsia="zh-CN"/>
              </w:rPr>
            </w:pPr>
            <w:r>
              <w:rPr>
                <w:rFonts w:hint="eastAsia" w:ascii="仿宋" w:hAnsi="仿宋" w:cs="仿宋"/>
                <w:b/>
                <w:bCs/>
                <w:color w:val="000000"/>
                <w:kern w:val="0"/>
                <w:sz w:val="21"/>
                <w:szCs w:val="21"/>
                <w:highlight w:val="none"/>
                <w:lang w:val="en-US" w:eastAsia="zh-CN" w:bidi="ar"/>
              </w:rPr>
              <w:t>相关业绩</w:t>
            </w:r>
            <w:r>
              <w:rPr>
                <w:rFonts w:hint="eastAsia" w:ascii="仿宋" w:hAnsi="仿宋" w:cs="仿宋"/>
                <w:b/>
                <w:bCs/>
                <w:color w:val="000000"/>
                <w:kern w:val="0"/>
                <w:sz w:val="21"/>
                <w:szCs w:val="21"/>
                <w:highlight w:val="none"/>
                <w:lang w:bidi="ar"/>
              </w:rPr>
              <w:t>(</w:t>
            </w:r>
            <w:r>
              <w:rPr>
                <w:rFonts w:hint="eastAsia" w:ascii="仿宋" w:hAnsi="仿宋" w:cs="仿宋"/>
                <w:b/>
                <w:bCs/>
                <w:color w:val="000000"/>
                <w:kern w:val="0"/>
                <w:sz w:val="21"/>
                <w:szCs w:val="21"/>
                <w:highlight w:val="none"/>
                <w:lang w:val="en-US" w:eastAsia="zh-CN" w:bidi="ar"/>
              </w:rPr>
              <w:t>25</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根据供应商</w:t>
            </w:r>
            <w:r>
              <w:rPr>
                <w:rFonts w:hint="eastAsia" w:ascii="仿宋" w:hAnsi="仿宋" w:cs="仿宋"/>
                <w:color w:val="000000"/>
                <w:sz w:val="21"/>
                <w:szCs w:val="21"/>
                <w:highlight w:val="none"/>
                <w:lang w:eastAsia="zh-CN"/>
              </w:rPr>
              <w:t>近五年</w:t>
            </w:r>
            <w:r>
              <w:rPr>
                <w:rFonts w:hint="eastAsia" w:ascii="仿宋" w:hAnsi="仿宋" w:cs="仿宋"/>
                <w:color w:val="000000"/>
                <w:sz w:val="21"/>
                <w:szCs w:val="21"/>
                <w:highlight w:val="none"/>
              </w:rPr>
              <w:t>以来（以合同签订时间为准）承接过同类业绩（同类业绩指具有信息化系统运维经验）的情况进行评分：</w:t>
            </w:r>
          </w:p>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每个业绩得</w:t>
            </w:r>
            <w:r>
              <w:rPr>
                <w:rFonts w:hint="eastAsia" w:ascii="仿宋" w:hAnsi="仿宋" w:cs="仿宋"/>
                <w:color w:val="000000"/>
                <w:sz w:val="21"/>
                <w:szCs w:val="21"/>
                <w:highlight w:val="none"/>
                <w:lang w:val="en-US" w:eastAsia="zh-CN"/>
              </w:rPr>
              <w:t>5</w:t>
            </w:r>
            <w:r>
              <w:rPr>
                <w:rFonts w:hint="eastAsia" w:ascii="仿宋" w:hAnsi="仿宋" w:cs="仿宋"/>
                <w:color w:val="000000"/>
                <w:sz w:val="21"/>
                <w:szCs w:val="21"/>
                <w:highlight w:val="none"/>
              </w:rPr>
              <w:t>分，本项满分</w:t>
            </w:r>
            <w:r>
              <w:rPr>
                <w:rFonts w:hint="eastAsia" w:ascii="仿宋" w:hAnsi="仿宋" w:cs="仿宋"/>
                <w:color w:val="000000"/>
                <w:sz w:val="21"/>
                <w:szCs w:val="21"/>
                <w:highlight w:val="none"/>
                <w:lang w:val="en-US" w:eastAsia="zh-CN"/>
              </w:rPr>
              <w:t>25</w:t>
            </w:r>
            <w:r>
              <w:rPr>
                <w:rFonts w:hint="eastAsia" w:ascii="仿宋" w:hAnsi="仿宋" w:cs="仿宋"/>
                <w:color w:val="000000"/>
                <w:sz w:val="21"/>
                <w:szCs w:val="21"/>
                <w:highlight w:val="none"/>
              </w:rPr>
              <w:t>分。</w:t>
            </w:r>
          </w:p>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注：需提供合同关键页证明材料并加盖公章，未提供或者提供的资料不符合要求的则不得分</w:t>
            </w:r>
            <w:r>
              <w:rPr>
                <w:rFonts w:hint="eastAsia" w:ascii="仿宋" w:hAnsi="仿宋" w:cs="仿宋"/>
                <w:color w:val="000000"/>
                <w:sz w:val="21"/>
                <w:szCs w:val="21"/>
                <w:highlight w:val="none"/>
                <w:lang w:eastAsia="zh-CN"/>
              </w:rPr>
              <w:t>，一份合同计为一个业绩。</w:t>
            </w:r>
          </w:p>
        </w:tc>
      </w:tr>
      <w:tr>
        <w:tblPrEx>
          <w:tblCellMar>
            <w:top w:w="0" w:type="dxa"/>
            <w:left w:w="0" w:type="dxa"/>
            <w:bottom w:w="0" w:type="dxa"/>
            <w:right w:w="0" w:type="dxa"/>
          </w:tblCellMar>
        </w:tblPrEx>
        <w:trPr>
          <w:trHeight w:val="52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rPr>
            </w:pPr>
            <w:r>
              <w:rPr>
                <w:rFonts w:hint="eastAsia" w:ascii="仿宋" w:hAnsi="仿宋" w:cs="仿宋"/>
                <w:color w:val="000000"/>
                <w:kern w:val="0"/>
                <w:sz w:val="21"/>
                <w:szCs w:val="21"/>
                <w:lang w:bidi="ar"/>
              </w:rPr>
              <w:t>2</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kern w:val="0"/>
                <w:sz w:val="21"/>
                <w:szCs w:val="21"/>
                <w:highlight w:val="none"/>
                <w:lang w:bidi="ar"/>
              </w:rPr>
            </w:pPr>
            <w:r>
              <w:rPr>
                <w:rFonts w:hint="eastAsia" w:ascii="仿宋" w:hAnsi="仿宋" w:cs="仿宋"/>
                <w:b/>
                <w:bCs/>
                <w:color w:val="000000"/>
                <w:kern w:val="0"/>
                <w:sz w:val="21"/>
                <w:szCs w:val="21"/>
                <w:highlight w:val="none"/>
                <w:lang w:bidi="ar"/>
              </w:rPr>
              <w:t>项目</w:t>
            </w:r>
          </w:p>
          <w:p>
            <w:pPr>
              <w:widowControl/>
              <w:jc w:val="center"/>
              <w:textAlignment w:val="center"/>
              <w:rPr>
                <w:rFonts w:hint="eastAsia" w:ascii="仿宋" w:hAnsi="仿宋" w:cs="仿宋"/>
                <w:color w:val="000000"/>
                <w:sz w:val="21"/>
                <w:szCs w:val="21"/>
                <w:highlight w:val="none"/>
              </w:rPr>
            </w:pPr>
            <w:r>
              <w:rPr>
                <w:rFonts w:hint="eastAsia" w:ascii="仿宋" w:hAnsi="仿宋" w:cs="仿宋"/>
                <w:b/>
                <w:bCs/>
                <w:color w:val="000000"/>
                <w:kern w:val="0"/>
                <w:sz w:val="21"/>
                <w:szCs w:val="21"/>
                <w:highlight w:val="none"/>
                <w:lang w:bidi="ar"/>
              </w:rPr>
              <w:t>负责人(</w:t>
            </w:r>
            <w:r>
              <w:rPr>
                <w:rFonts w:hint="eastAsia" w:ascii="仿宋" w:hAnsi="仿宋" w:cs="仿宋"/>
                <w:b/>
                <w:bCs/>
                <w:color w:val="000000"/>
                <w:kern w:val="0"/>
                <w:sz w:val="21"/>
                <w:szCs w:val="21"/>
                <w:highlight w:val="none"/>
                <w:lang w:val="en-US" w:eastAsia="zh-CN" w:bidi="ar"/>
              </w:rPr>
              <w:t>7</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根据供应商拟投入本项目的项目负责人进行评审</w:t>
            </w:r>
            <w:r>
              <w:rPr>
                <w:rFonts w:hint="eastAsia" w:ascii="仿宋" w:hAnsi="仿宋" w:cs="仿宋"/>
                <w:color w:val="000000"/>
                <w:sz w:val="21"/>
                <w:szCs w:val="21"/>
                <w:highlight w:val="none"/>
                <w:lang w:eastAsia="zh-CN"/>
              </w:rPr>
              <w:t>：</w:t>
            </w:r>
          </w:p>
          <w:p>
            <w:pPr>
              <w:widowControl/>
              <w:numPr>
                <w:ilvl w:val="0"/>
                <w:numId w:val="5"/>
              </w:numPr>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 xml:space="preserve">信息系统项目管理师证书；  </w:t>
            </w:r>
          </w:p>
          <w:p>
            <w:pPr>
              <w:widowControl/>
              <w:numPr>
                <w:ilvl w:val="0"/>
                <w:numId w:val="5"/>
              </w:numPr>
              <w:jc w:val="left"/>
              <w:textAlignment w:val="top"/>
              <w:rPr>
                <w:rFonts w:hint="eastAsia" w:ascii="仿宋" w:hAnsi="仿宋" w:cs="仿宋"/>
                <w:color w:val="000000"/>
                <w:sz w:val="21"/>
                <w:szCs w:val="21"/>
                <w:highlight w:val="none"/>
              </w:rPr>
            </w:pPr>
            <w:r>
              <w:rPr>
                <w:rFonts w:hint="eastAsia" w:ascii="仿宋" w:hAnsi="仿宋" w:cs="仿宋"/>
                <w:color w:val="000000"/>
                <w:kern w:val="0"/>
                <w:sz w:val="21"/>
                <w:szCs w:val="21"/>
                <w:highlight w:val="none"/>
                <w:lang w:bidi="ar"/>
              </w:rPr>
              <w:t>网络工程师证书</w:t>
            </w:r>
            <w:r>
              <w:rPr>
                <w:rFonts w:hint="eastAsia" w:ascii="仿宋" w:hAnsi="仿宋" w:cs="仿宋"/>
                <w:color w:val="000000"/>
                <w:kern w:val="0"/>
                <w:sz w:val="21"/>
                <w:szCs w:val="21"/>
                <w:highlight w:val="none"/>
                <w:lang w:eastAsia="zh-CN" w:bidi="ar"/>
              </w:rPr>
              <w:t>；</w:t>
            </w:r>
          </w:p>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每提供一个有效证书得</w:t>
            </w:r>
            <w:r>
              <w:rPr>
                <w:rFonts w:hint="eastAsia" w:ascii="仿宋" w:hAnsi="仿宋" w:cs="仿宋"/>
                <w:color w:val="000000"/>
                <w:sz w:val="21"/>
                <w:szCs w:val="21"/>
                <w:highlight w:val="none"/>
                <w:lang w:val="en-US" w:eastAsia="zh-CN"/>
              </w:rPr>
              <w:t>3.5</w:t>
            </w:r>
            <w:r>
              <w:rPr>
                <w:rFonts w:hint="eastAsia" w:ascii="仿宋" w:hAnsi="仿宋" w:cs="仿宋"/>
                <w:color w:val="000000"/>
                <w:sz w:val="21"/>
                <w:szCs w:val="21"/>
                <w:highlight w:val="none"/>
              </w:rPr>
              <w:t>分，本项满分为</w:t>
            </w:r>
            <w:r>
              <w:rPr>
                <w:rFonts w:hint="eastAsia" w:ascii="仿宋" w:hAnsi="仿宋" w:cs="仿宋"/>
                <w:color w:val="000000"/>
                <w:sz w:val="21"/>
                <w:szCs w:val="21"/>
                <w:highlight w:val="none"/>
                <w:lang w:val="en-US" w:eastAsia="zh-CN"/>
              </w:rPr>
              <w:t>7</w:t>
            </w:r>
            <w:r>
              <w:rPr>
                <w:rFonts w:hint="eastAsia" w:ascii="仿宋" w:hAnsi="仿宋" w:cs="仿宋"/>
                <w:color w:val="000000"/>
                <w:sz w:val="21"/>
                <w:szCs w:val="21"/>
                <w:highlight w:val="none"/>
              </w:rPr>
              <w:t>分</w:t>
            </w:r>
            <w:r>
              <w:rPr>
                <w:rFonts w:hint="eastAsia" w:ascii="仿宋" w:hAnsi="仿宋" w:cs="仿宋"/>
                <w:color w:val="000000"/>
                <w:sz w:val="21"/>
                <w:szCs w:val="21"/>
                <w:highlight w:val="none"/>
                <w:lang w:eastAsia="zh-CN"/>
              </w:rPr>
              <w:t>。</w:t>
            </w:r>
          </w:p>
          <w:p>
            <w:pPr>
              <w:widowControl/>
              <w:jc w:val="left"/>
              <w:textAlignment w:val="top"/>
              <w:rPr>
                <w:rFonts w:hint="eastAsia" w:ascii="仿宋" w:hAnsi="仿宋" w:cs="仿宋"/>
                <w:color w:val="000000"/>
                <w:sz w:val="21"/>
                <w:szCs w:val="21"/>
                <w:highlight w:val="none"/>
              </w:rPr>
            </w:pPr>
            <w:r>
              <w:rPr>
                <w:rFonts w:hint="eastAsia" w:ascii="仿宋" w:hAnsi="仿宋" w:cs="仿宋"/>
                <w:color w:val="000000"/>
                <w:sz w:val="21"/>
                <w:szCs w:val="21"/>
                <w:highlight w:val="none"/>
              </w:rPr>
              <w:t>注：响应文件提供上述人员的证书证明材料（如供应商投入本项目的上述人员具备以上同专业更高等级证书的同样予以计分，项目负责人证书属于国家计算机技术与软件专业技术资格（水平）考试证书），并提供近三个月内任意一个月供应商为上述人员购买社保的证明材料（加盖社保部门公章或者电子印章），上述资料加盖供应商公章，未提供或者提供的证明文件不符合要求的则不得分。</w:t>
            </w:r>
          </w:p>
        </w:tc>
      </w:tr>
      <w:tr>
        <w:tblPrEx>
          <w:tblCellMar>
            <w:top w:w="0" w:type="dxa"/>
            <w:left w:w="0" w:type="dxa"/>
            <w:bottom w:w="0" w:type="dxa"/>
            <w:right w:w="0" w:type="dxa"/>
          </w:tblCellMar>
        </w:tblPrEx>
        <w:trPr>
          <w:trHeight w:val="52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kern w:val="0"/>
                <w:sz w:val="21"/>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b/>
                <w:bCs/>
                <w:color w:val="000000"/>
                <w:kern w:val="0"/>
                <w:sz w:val="21"/>
                <w:szCs w:val="21"/>
                <w:highlight w:val="none"/>
                <w:lang w:bidi="ar"/>
              </w:rPr>
            </w:pPr>
            <w:r>
              <w:rPr>
                <w:rFonts w:hint="eastAsia" w:ascii="仿宋" w:hAnsi="仿宋" w:cs="仿宋"/>
                <w:b/>
                <w:bCs/>
                <w:color w:val="000000"/>
                <w:kern w:val="0"/>
                <w:sz w:val="21"/>
                <w:szCs w:val="21"/>
                <w:highlight w:val="none"/>
                <w:lang w:bidi="ar"/>
              </w:rPr>
              <w:t>项目服务团队人员 (</w:t>
            </w:r>
            <w:r>
              <w:rPr>
                <w:rFonts w:hint="eastAsia" w:ascii="仿宋" w:hAnsi="仿宋" w:cs="仿宋"/>
                <w:b/>
                <w:bCs/>
                <w:color w:val="000000"/>
                <w:kern w:val="0"/>
                <w:sz w:val="21"/>
                <w:szCs w:val="21"/>
                <w:highlight w:val="none"/>
                <w:lang w:val="en-US" w:eastAsia="zh-CN" w:bidi="ar"/>
              </w:rPr>
              <w:t>8</w:t>
            </w:r>
            <w:r>
              <w:rPr>
                <w:rFonts w:hint="eastAsia" w:ascii="仿宋" w:hAnsi="仿宋" w:cs="仿宋"/>
                <w:b/>
                <w:bCs/>
                <w:color w:val="000000"/>
                <w:kern w:val="0"/>
                <w:sz w:val="21"/>
                <w:szCs w:val="21"/>
                <w:highlight w:val="none"/>
                <w:lang w:bidi="ar"/>
              </w:rPr>
              <w:t>.0分)</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根据供应商拟投入项目服务团队成员（不含项目负责人）配备情况进行评审：</w:t>
            </w:r>
          </w:p>
          <w:p>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eastAsia="仿宋" w:cs="仿宋"/>
                <w:b w:val="0"/>
                <w:bCs/>
                <w:sz w:val="21"/>
                <w:szCs w:val="21"/>
                <w:highlight w:val="none"/>
                <w:lang w:val="en-US" w:eastAsia="zh-CN"/>
              </w:rPr>
              <w:t>系统集成项目管理工程</w:t>
            </w:r>
            <w:r>
              <w:rPr>
                <w:rFonts w:hint="eastAsia" w:ascii="仿宋" w:hAnsi="仿宋" w:eastAsia="仿宋" w:cs="仿宋"/>
                <w:b w:val="0"/>
                <w:bCs/>
                <w:sz w:val="21"/>
                <w:szCs w:val="21"/>
                <w:highlight w:val="none"/>
                <w:lang w:eastAsia="zh-CN"/>
              </w:rPr>
              <w:t>师</w:t>
            </w:r>
            <w:r>
              <w:rPr>
                <w:rFonts w:hint="eastAsia" w:ascii="仿宋" w:hAnsi="仿宋" w:cs="仿宋"/>
                <w:b w:val="0"/>
                <w:bCs/>
                <w:sz w:val="21"/>
                <w:szCs w:val="21"/>
                <w:highlight w:val="none"/>
                <w:lang w:eastAsia="zh-CN"/>
              </w:rPr>
              <w:t>证书</w:t>
            </w:r>
            <w:r>
              <w:rPr>
                <w:rFonts w:hint="eastAsia" w:ascii="仿宋" w:hAnsi="仿宋" w:cs="仿宋"/>
                <w:color w:val="000000"/>
                <w:kern w:val="0"/>
                <w:sz w:val="21"/>
                <w:szCs w:val="21"/>
                <w:highlight w:val="none"/>
                <w:lang w:bidi="ar"/>
              </w:rPr>
              <w:t xml:space="preserve">； </w:t>
            </w:r>
          </w:p>
          <w:p>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信息安全工程师证书；</w:t>
            </w:r>
          </w:p>
          <w:p>
            <w:pPr>
              <w:widowControl/>
              <w:numPr>
                <w:ilvl w:val="0"/>
                <w:numId w:val="6"/>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网络工程师证书；</w:t>
            </w:r>
          </w:p>
          <w:p>
            <w:pPr>
              <w:widowControl/>
              <w:numPr>
                <w:ilvl w:val="0"/>
                <w:numId w:val="0"/>
              </w:numPr>
              <w:jc w:val="left"/>
              <w:textAlignment w:val="top"/>
              <w:rPr>
                <w:rFonts w:hint="eastAsia" w:ascii="仿宋" w:hAnsi="仿宋" w:cs="仿宋"/>
                <w:color w:val="000000"/>
                <w:kern w:val="0"/>
                <w:sz w:val="21"/>
                <w:szCs w:val="21"/>
                <w:highlight w:val="none"/>
                <w:lang w:bidi="ar"/>
              </w:rPr>
            </w:pPr>
            <w:r>
              <w:rPr>
                <w:rFonts w:hint="eastAsia" w:ascii="仿宋" w:hAnsi="仿宋" w:cs="仿宋"/>
                <w:color w:val="000000"/>
                <w:kern w:val="0"/>
                <w:sz w:val="21"/>
                <w:szCs w:val="21"/>
                <w:highlight w:val="none"/>
                <w:lang w:bidi="ar"/>
              </w:rPr>
              <w:t>每个证书计</w:t>
            </w:r>
            <w:r>
              <w:rPr>
                <w:rFonts w:hint="eastAsia" w:ascii="仿宋" w:hAnsi="仿宋" w:cs="仿宋"/>
                <w:color w:val="000000"/>
                <w:kern w:val="0"/>
                <w:sz w:val="21"/>
                <w:szCs w:val="21"/>
                <w:highlight w:val="none"/>
                <w:lang w:val="en-US" w:eastAsia="zh-CN" w:bidi="ar"/>
              </w:rPr>
              <w:t>4</w:t>
            </w:r>
            <w:r>
              <w:rPr>
                <w:rFonts w:hint="eastAsia" w:ascii="仿宋" w:hAnsi="仿宋" w:cs="仿宋"/>
                <w:color w:val="000000"/>
                <w:kern w:val="0"/>
                <w:sz w:val="21"/>
                <w:szCs w:val="21"/>
                <w:highlight w:val="none"/>
                <w:lang w:bidi="ar"/>
              </w:rPr>
              <w:t>分，同一人多个证书不重复计分，本项满分</w:t>
            </w:r>
            <w:r>
              <w:rPr>
                <w:rFonts w:hint="eastAsia" w:ascii="仿宋" w:hAnsi="仿宋" w:cs="仿宋"/>
                <w:color w:val="000000"/>
                <w:kern w:val="0"/>
                <w:sz w:val="21"/>
                <w:szCs w:val="21"/>
                <w:highlight w:val="none"/>
                <w:lang w:val="en-US" w:eastAsia="zh-CN" w:bidi="ar"/>
              </w:rPr>
              <w:t>8</w:t>
            </w:r>
            <w:r>
              <w:rPr>
                <w:rFonts w:hint="eastAsia" w:ascii="仿宋" w:hAnsi="仿宋" w:cs="仿宋"/>
                <w:color w:val="000000"/>
                <w:kern w:val="0"/>
                <w:sz w:val="21"/>
                <w:szCs w:val="21"/>
                <w:highlight w:val="none"/>
                <w:lang w:bidi="ar"/>
              </w:rPr>
              <w:t>分。</w:t>
            </w:r>
          </w:p>
          <w:p>
            <w:pPr>
              <w:widowControl/>
              <w:jc w:val="left"/>
              <w:textAlignment w:val="top"/>
              <w:rPr>
                <w:rFonts w:hint="eastAsia" w:ascii="仿宋" w:hAnsi="仿宋" w:cs="仿宋"/>
                <w:color w:val="000000"/>
                <w:kern w:val="0"/>
                <w:sz w:val="21"/>
                <w:szCs w:val="21"/>
                <w:highlight w:val="none"/>
                <w:lang w:bidi="ar"/>
              </w:rPr>
            </w:pPr>
            <w:r>
              <w:rPr>
                <w:rFonts w:hint="eastAsia" w:ascii="仿宋" w:hAnsi="仿宋" w:cs="仿宋"/>
                <w:b w:val="0"/>
                <w:bCs w:val="0"/>
                <w:color w:val="000000"/>
                <w:kern w:val="0"/>
                <w:sz w:val="21"/>
                <w:szCs w:val="21"/>
                <w:highlight w:val="none"/>
                <w:lang w:bidi="ar"/>
              </w:rPr>
              <w:t>注：响应文件中提供上述人员证书证明材料（如供应商投入本项目的上述人员具备以上同专业更高等级证书的同样予以计分）与近三个月内任意一个月供应商为上述人员购买社保的证明材料（加盖社保部门公章或者电子印章），上述资料加盖供应商公章，未提供或者提供的证明文件不符合要求的则不得分。</w:t>
            </w:r>
          </w:p>
        </w:tc>
      </w:tr>
      <w:tr>
        <w:tblPrEx>
          <w:tblCellMar>
            <w:top w:w="0" w:type="dxa"/>
            <w:left w:w="0" w:type="dxa"/>
            <w:bottom w:w="0" w:type="dxa"/>
            <w:right w:w="0" w:type="dxa"/>
          </w:tblCellMar>
        </w:tblPrEx>
        <w:trPr>
          <w:trHeight w:val="285" w:hRule="atLeast"/>
          <w:jc w:val="center"/>
        </w:trPr>
        <w:tc>
          <w:tcPr>
            <w:tcW w:w="7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top"/>
              <w:rPr>
                <w:rFonts w:hint="eastAsia" w:ascii="仿宋" w:hAnsi="仿宋" w:cs="仿宋"/>
                <w:color w:val="000000"/>
                <w:sz w:val="21"/>
                <w:szCs w:val="21"/>
                <w:highlight w:val="none"/>
              </w:rPr>
            </w:pPr>
            <w:bookmarkStart w:id="0" w:name="_GoBack" w:colFirst="0" w:colLast="2"/>
            <w:r>
              <w:rPr>
                <w:rFonts w:hint="eastAsia" w:ascii="仿宋" w:hAnsi="仿宋" w:cs="仿宋"/>
                <w:b/>
                <w:bCs/>
                <w:color w:val="000000"/>
                <w:kern w:val="0"/>
                <w:sz w:val="21"/>
                <w:szCs w:val="21"/>
                <w:highlight w:val="none"/>
                <w:lang w:bidi="ar"/>
              </w:rPr>
              <w:t>3、经济价格指标评（10分）</w:t>
            </w:r>
          </w:p>
        </w:tc>
      </w:tr>
      <w:tr>
        <w:tblPrEx>
          <w:tblCellMar>
            <w:top w:w="0" w:type="dxa"/>
            <w:left w:w="0" w:type="dxa"/>
            <w:bottom w:w="0" w:type="dxa"/>
            <w:right w:w="0" w:type="dxa"/>
          </w:tblCellMar>
        </w:tblPrEx>
        <w:trPr>
          <w:trHeight w:val="1662" w:hRule="atLeast"/>
          <w:jc w:val="cent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highlight w:val="none"/>
              </w:rPr>
            </w:pPr>
            <w:r>
              <w:rPr>
                <w:rFonts w:hint="eastAsia" w:ascii="仿宋" w:hAnsi="仿宋" w:cs="仿宋"/>
                <w:color w:val="000000"/>
                <w:kern w:val="0"/>
                <w:sz w:val="21"/>
                <w:szCs w:val="21"/>
                <w:highlight w:val="none"/>
                <w:lang w:bidi="ar"/>
              </w:rPr>
              <w:t>1</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cs="仿宋"/>
                <w:color w:val="000000"/>
                <w:sz w:val="21"/>
                <w:szCs w:val="21"/>
                <w:highlight w:val="none"/>
              </w:rPr>
            </w:pPr>
            <w:r>
              <w:rPr>
                <w:rFonts w:hint="eastAsia" w:ascii="仿宋" w:hAnsi="仿宋" w:cs="仿宋"/>
                <w:b/>
                <w:bCs/>
                <w:color w:val="000000"/>
                <w:kern w:val="0"/>
                <w:sz w:val="21"/>
                <w:szCs w:val="21"/>
                <w:highlight w:val="none"/>
                <w:lang w:bidi="ar"/>
              </w:rPr>
              <w:t>经济价格</w:t>
            </w:r>
          </w:p>
        </w:tc>
        <w:tc>
          <w:tcPr>
            <w:tcW w:w="6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 w:hAnsi="仿宋" w:cs="仿宋"/>
                <w:color w:val="000000"/>
                <w:sz w:val="21"/>
                <w:szCs w:val="21"/>
                <w:highlight w:val="none"/>
              </w:rPr>
            </w:pPr>
            <w:r>
              <w:rPr>
                <w:rFonts w:hint="eastAsia" w:ascii="仿宋" w:hAnsi="仿宋" w:cs="仿宋"/>
                <w:color w:val="000000"/>
                <w:kern w:val="0"/>
                <w:sz w:val="21"/>
                <w:szCs w:val="21"/>
                <w:highlight w:val="none"/>
                <w:lang w:bidi="ar"/>
              </w:rPr>
              <w:t>经济价格标得分=(评标基准价/投标报价)×10%×100 上述公式中的“评标基准价”是指满足</w:t>
            </w:r>
            <w:r>
              <w:rPr>
                <w:rFonts w:hint="eastAsia" w:ascii="仿宋" w:hAnsi="仿宋" w:cs="仿宋"/>
                <w:color w:val="000000"/>
                <w:kern w:val="0"/>
                <w:sz w:val="21"/>
                <w:szCs w:val="21"/>
                <w:highlight w:val="none"/>
                <w:lang w:val="en-US" w:eastAsia="zh-CN" w:bidi="ar"/>
              </w:rPr>
              <w:t>项目需求书</w:t>
            </w:r>
            <w:r>
              <w:rPr>
                <w:rFonts w:hint="eastAsia" w:ascii="仿宋" w:hAnsi="仿宋" w:cs="仿宋"/>
                <w:color w:val="000000"/>
                <w:kern w:val="0"/>
                <w:sz w:val="21"/>
                <w:szCs w:val="21"/>
                <w:highlight w:val="none"/>
                <w:lang w:bidi="ar"/>
              </w:rPr>
              <w:t>要求且经评审后的最低评审价格，其价格分为满分。上述公式中的“投标报价”是指经评审后的投标报价。</w:t>
            </w:r>
          </w:p>
        </w:tc>
      </w:tr>
      <w:bookmarkEnd w:id="0"/>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70E6"/>
    <w:multiLevelType w:val="singleLevel"/>
    <w:tmpl w:val="9C9D70E6"/>
    <w:lvl w:ilvl="0" w:tentative="0">
      <w:start w:val="1"/>
      <w:numFmt w:val="decimal"/>
      <w:suff w:val="nothing"/>
      <w:lvlText w:val="（%1）"/>
      <w:lvlJc w:val="left"/>
    </w:lvl>
  </w:abstractNum>
  <w:abstractNum w:abstractNumId="1">
    <w:nsid w:val="BD4C6131"/>
    <w:multiLevelType w:val="singleLevel"/>
    <w:tmpl w:val="BD4C6131"/>
    <w:lvl w:ilvl="0" w:tentative="0">
      <w:start w:val="1"/>
      <w:numFmt w:val="decimal"/>
      <w:suff w:val="nothing"/>
      <w:lvlText w:val="（%1）"/>
      <w:lvlJc w:val="left"/>
      <w:pPr>
        <w:ind w:left="0" w:firstLine="0"/>
      </w:pPr>
    </w:lvl>
  </w:abstractNum>
  <w:abstractNum w:abstractNumId="2">
    <w:nsid w:val="CD0775EE"/>
    <w:multiLevelType w:val="singleLevel"/>
    <w:tmpl w:val="CD0775EE"/>
    <w:lvl w:ilvl="0" w:tentative="0">
      <w:start w:val="1"/>
      <w:numFmt w:val="decimal"/>
      <w:suff w:val="nothing"/>
      <w:lvlText w:val="（%1）"/>
      <w:lvlJc w:val="left"/>
    </w:lvl>
  </w:abstractNum>
  <w:abstractNum w:abstractNumId="3">
    <w:nsid w:val="0D92B2B3"/>
    <w:multiLevelType w:val="singleLevel"/>
    <w:tmpl w:val="0D92B2B3"/>
    <w:lvl w:ilvl="0" w:tentative="0">
      <w:start w:val="1"/>
      <w:numFmt w:val="decimal"/>
      <w:suff w:val="nothing"/>
      <w:lvlText w:val="（%1）"/>
      <w:lvlJc w:val="left"/>
    </w:lvl>
  </w:abstractNum>
  <w:abstractNum w:abstractNumId="4">
    <w:nsid w:val="4D68ECEF"/>
    <w:multiLevelType w:val="singleLevel"/>
    <w:tmpl w:val="4D68ECEF"/>
    <w:lvl w:ilvl="0" w:tentative="0">
      <w:start w:val="1"/>
      <w:numFmt w:val="decimal"/>
      <w:suff w:val="nothing"/>
      <w:lvlText w:val="（%1）"/>
      <w:lvlJc w:val="left"/>
    </w:lvl>
  </w:abstractNum>
  <w:abstractNum w:abstractNumId="5">
    <w:nsid w:val="77635D20"/>
    <w:multiLevelType w:val="singleLevel"/>
    <w:tmpl w:val="77635D20"/>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20B7"/>
    <w:rsid w:val="04E95462"/>
    <w:rsid w:val="1A7C7103"/>
    <w:rsid w:val="211749D8"/>
    <w:rsid w:val="26133E87"/>
    <w:rsid w:val="27865F67"/>
    <w:rsid w:val="28A92D92"/>
    <w:rsid w:val="2C2F340C"/>
    <w:rsid w:val="34CE0CB4"/>
    <w:rsid w:val="34D039B6"/>
    <w:rsid w:val="3DF40CB5"/>
    <w:rsid w:val="44B52F47"/>
    <w:rsid w:val="4A386378"/>
    <w:rsid w:val="4DDD6C4C"/>
    <w:rsid w:val="4E4740FD"/>
    <w:rsid w:val="59F93C29"/>
    <w:rsid w:val="5A9A37B2"/>
    <w:rsid w:val="5CEF1FEE"/>
    <w:rsid w:val="629A41D2"/>
    <w:rsid w:val="63D351D4"/>
    <w:rsid w:val="66150C06"/>
    <w:rsid w:val="678C2D71"/>
    <w:rsid w:val="6FEA5D29"/>
    <w:rsid w:val="7B3D6D3E"/>
    <w:rsid w:val="7B81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28"/>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2025-11-18T09:27:00Z</dcterms:created>
  <dc:creator>Administrator</dc:creator>
  <cp:lastModifiedBy>恰儿啊</cp:lastModifiedBy>
  <dcterms:modified xsi:type="dcterms:W3CDTF">2025-11-18T09:34:20Z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1788242D134E48E8B1F09A7181BCD7BD</vt:lpwstr>
  </property>
</Properties>
</file>