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4DE57">
      <w:pPr>
        <w:pStyle w:val="26"/>
        <w:widowControl w:val="0"/>
        <w:adjustRightInd w:val="0"/>
        <w:spacing w:line="560" w:lineRule="exact"/>
        <w:ind w:right="1104"/>
        <w:jc w:val="center"/>
        <w:rPr>
          <w:rFonts w:ascii="仿宋_GB2312" w:eastAsia="仿宋_GB2312"/>
          <w:kern w:val="2"/>
          <w:sz w:val="32"/>
        </w:rPr>
      </w:pPr>
      <w:bookmarkStart w:id="3" w:name="_GoBack"/>
      <w:bookmarkEnd w:id="3"/>
    </w:p>
    <w:p w14:paraId="47EC702F">
      <w:pPr>
        <w:pStyle w:val="26"/>
        <w:widowControl w:val="0"/>
        <w:adjustRightInd w:val="0"/>
        <w:spacing w:line="560" w:lineRule="exact"/>
        <w:ind w:right="1104"/>
        <w:jc w:val="center"/>
        <w:rPr>
          <w:rFonts w:ascii="仿宋_GB2312" w:hAnsi="仿宋_GB2312" w:eastAsia="仿宋_GB2312"/>
          <w:kern w:val="2"/>
          <w:sz w:val="32"/>
          <w:szCs w:val="32"/>
        </w:rPr>
      </w:pPr>
    </w:p>
    <w:p w14:paraId="2C486B53">
      <w:pPr>
        <w:jc w:val="center"/>
        <w:rPr>
          <w:b/>
          <w:bCs/>
          <w:sz w:val="44"/>
          <w:szCs w:val="44"/>
          <w:lang w:eastAsia="zh-TW"/>
        </w:rPr>
      </w:pPr>
    </w:p>
    <w:p w14:paraId="09E44C39">
      <w:pPr>
        <w:rPr>
          <w:b/>
          <w:bCs/>
          <w:sz w:val="44"/>
          <w:szCs w:val="44"/>
          <w:lang w:eastAsia="zh-TW"/>
        </w:rPr>
      </w:pPr>
    </w:p>
    <w:p w14:paraId="2EF247F8">
      <w:pPr>
        <w:rPr>
          <w:b/>
          <w:bCs/>
          <w:sz w:val="44"/>
          <w:szCs w:val="44"/>
          <w:lang w:eastAsia="zh-TW"/>
        </w:rPr>
      </w:pPr>
    </w:p>
    <w:p w14:paraId="6278B547">
      <w:pPr>
        <w:jc w:val="center"/>
        <w:rPr>
          <w:b/>
          <w:bCs/>
          <w:sz w:val="44"/>
          <w:szCs w:val="44"/>
          <w:lang w:eastAsia="zh-TW"/>
        </w:rPr>
      </w:pPr>
    </w:p>
    <w:p w14:paraId="0766FCA0">
      <w:pPr>
        <w:jc w:val="center"/>
        <w:rPr>
          <w:b/>
          <w:bCs/>
          <w:sz w:val="44"/>
          <w:szCs w:val="44"/>
          <w:lang w:eastAsia="zh-TW"/>
        </w:rPr>
      </w:pPr>
    </w:p>
    <w:p w14:paraId="60448FBB">
      <w:pPr>
        <w:pStyle w:val="12"/>
        <w:rPr>
          <w:lang w:eastAsia="zh-TW"/>
        </w:rPr>
      </w:pPr>
    </w:p>
    <w:p w14:paraId="6D224ECC">
      <w:pPr>
        <w:jc w:val="center"/>
        <w:rPr>
          <w:b/>
          <w:bCs/>
          <w:sz w:val="44"/>
          <w:szCs w:val="44"/>
          <w:lang w:eastAsia="zh-TW"/>
        </w:rPr>
      </w:pPr>
    </w:p>
    <w:p w14:paraId="01206BA5">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14:paraId="471317CE">
      <w:pPr>
        <w:jc w:val="center"/>
        <w:rPr>
          <w:b/>
          <w:bCs/>
          <w:sz w:val="44"/>
          <w:szCs w:val="44"/>
        </w:rPr>
      </w:pPr>
    </w:p>
    <w:p w14:paraId="36053AF4">
      <w:pPr>
        <w:rPr>
          <w:b/>
          <w:bCs/>
          <w:sz w:val="44"/>
          <w:szCs w:val="44"/>
        </w:rPr>
      </w:pPr>
    </w:p>
    <w:p w14:paraId="32F87B36">
      <w:pPr>
        <w:rPr>
          <w:b/>
          <w:bCs/>
          <w:sz w:val="44"/>
          <w:szCs w:val="44"/>
        </w:rPr>
      </w:pPr>
    </w:p>
    <w:p w14:paraId="46C01A9E">
      <w:pPr>
        <w:pStyle w:val="12"/>
        <w:rPr>
          <w:b/>
          <w:bCs/>
          <w:sz w:val="44"/>
          <w:szCs w:val="44"/>
        </w:rPr>
      </w:pPr>
    </w:p>
    <w:p w14:paraId="0B1349EC">
      <w:pPr>
        <w:pStyle w:val="12"/>
        <w:ind w:left="0" w:firstLine="0"/>
        <w:rPr>
          <w:b/>
          <w:bCs/>
          <w:sz w:val="44"/>
          <w:szCs w:val="44"/>
        </w:rPr>
      </w:pPr>
    </w:p>
    <w:p w14:paraId="4ED8EF90">
      <w:pPr>
        <w:pStyle w:val="12"/>
        <w:rPr>
          <w:b/>
          <w:bCs/>
          <w:sz w:val="44"/>
          <w:szCs w:val="44"/>
        </w:rPr>
      </w:pPr>
    </w:p>
    <w:p w14:paraId="377C43A9">
      <w:pPr>
        <w:pStyle w:val="12"/>
        <w:rPr>
          <w:b/>
          <w:bCs/>
          <w:sz w:val="44"/>
          <w:szCs w:val="44"/>
        </w:rPr>
      </w:pPr>
    </w:p>
    <w:p w14:paraId="487AA471">
      <w:pPr>
        <w:pStyle w:val="12"/>
        <w:rPr>
          <w:b/>
          <w:bCs/>
          <w:sz w:val="44"/>
          <w:szCs w:val="44"/>
        </w:rPr>
      </w:pPr>
    </w:p>
    <w:p w14:paraId="57BE5F0B">
      <w:pPr>
        <w:pStyle w:val="12"/>
        <w:rPr>
          <w:b/>
          <w:bCs/>
          <w:sz w:val="44"/>
          <w:szCs w:val="44"/>
        </w:rPr>
      </w:pPr>
    </w:p>
    <w:p w14:paraId="3E15EE96">
      <w:pPr>
        <w:pStyle w:val="12"/>
        <w:rPr>
          <w:b/>
          <w:bCs/>
          <w:sz w:val="44"/>
          <w:szCs w:val="44"/>
        </w:rPr>
      </w:pPr>
    </w:p>
    <w:p w14:paraId="528AE519">
      <w:pPr>
        <w:pStyle w:val="12"/>
        <w:ind w:left="0" w:firstLine="0"/>
        <w:rPr>
          <w:rFonts w:hint="eastAsia"/>
          <w:b/>
          <w:bCs/>
          <w:sz w:val="44"/>
          <w:szCs w:val="44"/>
        </w:rPr>
      </w:pPr>
    </w:p>
    <w:p w14:paraId="31F0FFD2">
      <w:pPr>
        <w:pStyle w:val="12"/>
        <w:ind w:left="0" w:firstLine="0"/>
        <w:rPr>
          <w:b/>
          <w:bCs/>
          <w:sz w:val="44"/>
          <w:szCs w:val="44"/>
        </w:rPr>
      </w:pPr>
      <w:r>
        <w:rPr>
          <w:rFonts w:hint="eastAsia"/>
          <w:b/>
          <w:bCs/>
          <w:sz w:val="44"/>
          <w:szCs w:val="44"/>
        </w:rPr>
        <w:t xml:space="preserve">             </w:t>
      </w:r>
    </w:p>
    <w:p w14:paraId="6FB2B1E3">
      <w:pPr>
        <w:widowControl/>
        <w:jc w:val="left"/>
        <w:rPr>
          <w:rFonts w:ascii="黑体" w:hAnsi="黑体" w:eastAsia="黑体" w:cs="黑体"/>
          <w:bCs/>
          <w:sz w:val="32"/>
          <w:szCs w:val="32"/>
        </w:rPr>
      </w:pPr>
      <w:r>
        <w:rPr>
          <w:rFonts w:hint="eastAsia"/>
          <w:b/>
          <w:bCs/>
          <w:sz w:val="44"/>
          <w:szCs w:val="44"/>
        </w:rPr>
        <w:t xml:space="preserve">   </w:t>
      </w:r>
      <w:r>
        <w:rPr>
          <w:rFonts w:hint="eastAsia" w:ascii="黑体" w:hAnsi="黑体" w:eastAsia="黑体" w:cs="黑体"/>
          <w:bCs/>
          <w:sz w:val="32"/>
          <w:szCs w:val="32"/>
        </w:rPr>
        <w:t>一、项目名称</w:t>
      </w:r>
    </w:p>
    <w:p w14:paraId="1F88F254">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横琴粤澳深度合作区碳普惠平台开发升级改造项目</w:t>
      </w:r>
    </w:p>
    <w:p w14:paraId="73A06C39">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14:paraId="7D4270E9">
      <w:pPr>
        <w:pStyle w:val="25"/>
        <w:spacing w:line="579" w:lineRule="exact"/>
        <w:ind w:firstLine="640"/>
        <w:rPr>
          <w:rFonts w:hint="eastAsia" w:ascii="仿宋" w:hAnsi="仿宋" w:eastAsia="仿宋" w:cs="仿宋"/>
          <w:bCs/>
          <w:sz w:val="32"/>
          <w:szCs w:val="32"/>
        </w:rPr>
      </w:pPr>
      <w:r>
        <w:rPr>
          <w:rFonts w:hint="eastAsia" w:ascii="仿宋" w:hAnsi="仿宋" w:eastAsia="仿宋" w:cs="仿宋"/>
          <w:bCs/>
          <w:sz w:val="32"/>
          <w:szCs w:val="32"/>
          <w:lang w:eastAsia="zh-CN"/>
        </w:rPr>
        <w:t>根据《横琴粤澳深度合作区总体发展规划》《横琴粤澳深度合作区碳中和试点示范建设总体规划》《横琴粤澳深度合作区碳中和试点示范实施方案（2024-2035年）》，为进一步优化完善合作区碳普惠体系，增强平台对企业、个人的引导能力，形成公众积极参与、低碳场景丰富、商业服务体系完善的碳普惠生态圈，开展横琴粤澳深度合作区碳普惠平台开发升级改造项目，拟从低碳场景拓展建设、互动与社交功能强化建设、用户体验和参与深度提升建设等方面对平台进行升级改造</w:t>
      </w:r>
      <w:r>
        <w:rPr>
          <w:rFonts w:hint="eastAsia" w:ascii="仿宋" w:hAnsi="仿宋" w:eastAsia="仿宋" w:cs="仿宋"/>
          <w:bCs/>
          <w:sz w:val="32"/>
          <w:szCs w:val="32"/>
        </w:rPr>
        <w:t>。</w:t>
      </w:r>
    </w:p>
    <w:p w14:paraId="5D3EF15E">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三、</w:t>
      </w:r>
      <w:r>
        <w:rPr>
          <w:rFonts w:hint="eastAsia" w:ascii="黑体" w:hAnsi="黑体" w:eastAsia="黑体" w:cs="黑体"/>
          <w:bCs/>
          <w:sz w:val="32"/>
          <w:szCs w:val="32"/>
          <w:lang w:eastAsia="zh-CN"/>
        </w:rPr>
        <w:t>项目</w:t>
      </w:r>
      <w:r>
        <w:rPr>
          <w:rFonts w:hint="eastAsia" w:ascii="黑体" w:hAnsi="黑体" w:eastAsia="黑体" w:cs="黑体"/>
          <w:bCs/>
          <w:sz w:val="32"/>
          <w:szCs w:val="32"/>
        </w:rPr>
        <w:t>期限</w:t>
      </w:r>
    </w:p>
    <w:p w14:paraId="40C91B9D">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eastAsia="zh-CN"/>
        </w:rPr>
        <w:t>。</w:t>
      </w:r>
    </w:p>
    <w:p w14:paraId="1A949246">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四、</w:t>
      </w:r>
      <w:r>
        <w:rPr>
          <w:rFonts w:hint="eastAsia" w:ascii="黑体" w:hAnsi="黑体" w:eastAsia="黑体" w:cs="黑体"/>
          <w:bCs/>
          <w:sz w:val="32"/>
          <w:szCs w:val="32"/>
          <w:lang w:eastAsia="zh-CN"/>
        </w:rPr>
        <w:t>项目</w:t>
      </w:r>
      <w:r>
        <w:rPr>
          <w:rFonts w:hint="eastAsia" w:ascii="黑体" w:hAnsi="黑体" w:eastAsia="黑体" w:cs="黑体"/>
          <w:bCs/>
          <w:sz w:val="32"/>
          <w:szCs w:val="32"/>
        </w:rPr>
        <w:t>内容及要求</w:t>
      </w:r>
    </w:p>
    <w:p w14:paraId="7FFF6D79">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建设内容见附件《横琴粤澳深度合作区碳普惠平台开发升级改造项目技术要求》，具体以本项目建设方案为准。要求成功上线各项功能，并通过项目验收。</w:t>
      </w:r>
    </w:p>
    <w:p w14:paraId="678F5B73">
      <w:pPr>
        <w:pStyle w:val="24"/>
        <w:spacing w:line="579" w:lineRule="exact"/>
        <w:ind w:firstLine="640"/>
        <w:outlineLvl w:val="0"/>
        <w:rPr>
          <w:rFonts w:ascii="黑体" w:hAnsi="黑体" w:eastAsia="黑体" w:cs="黑体"/>
          <w:bCs/>
          <w:sz w:val="32"/>
          <w:szCs w:val="32"/>
        </w:rPr>
      </w:pPr>
      <w:bookmarkStart w:id="0" w:name="_Toc529800909"/>
      <w:bookmarkStart w:id="1" w:name="_Toc77098321"/>
      <w:bookmarkStart w:id="2" w:name="_Toc76328165"/>
      <w:r>
        <w:rPr>
          <w:rFonts w:hint="eastAsia" w:ascii="黑体" w:hAnsi="黑体" w:eastAsia="黑体" w:cs="黑体"/>
          <w:bCs/>
          <w:sz w:val="32"/>
          <w:szCs w:val="32"/>
        </w:rPr>
        <w:t>五、考核标准</w:t>
      </w:r>
    </w:p>
    <w:p w14:paraId="1C0CCA30">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按照国家、广东省、横琴粤澳深度合作区及采购需求文件执行。</w:t>
      </w:r>
    </w:p>
    <w:bookmarkEnd w:id="0"/>
    <w:bookmarkEnd w:id="1"/>
    <w:bookmarkEnd w:id="2"/>
    <w:p w14:paraId="6B1AEB80">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六、采购预算及响应报价要求</w:t>
      </w:r>
    </w:p>
    <w:p w14:paraId="54D0F5C1">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调试费、保修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14:paraId="47FA5F22">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七、付款方式</w:t>
      </w:r>
    </w:p>
    <w:p w14:paraId="4CFEB096">
      <w:pPr>
        <w:snapToGrid w:val="0"/>
        <w:spacing w:line="579" w:lineRule="exact"/>
        <w:ind w:firstLine="624" w:firstLineChars="200"/>
        <w:rPr>
          <w:sz w:val="32"/>
          <w:szCs w:val="32"/>
        </w:rPr>
      </w:pPr>
      <w:r>
        <w:rPr>
          <w:rFonts w:hint="eastAsia" w:ascii="仿宋" w:hAnsi="仿宋" w:eastAsia="仿宋" w:cs="仿宋"/>
          <w:spacing w:val="-4"/>
          <w:sz w:val="32"/>
          <w:szCs w:val="32"/>
        </w:rPr>
        <w:t>1期：成交供应商与采购人签订合同1</w:t>
      </w:r>
      <w:r>
        <w:rPr>
          <w:rFonts w:hint="eastAsia" w:ascii="仿宋" w:hAnsi="仿宋" w:eastAsia="PMingLiU" w:cs="仿宋"/>
          <w:spacing w:val="-4"/>
          <w:sz w:val="32"/>
          <w:szCs w:val="32"/>
        </w:rPr>
        <w:t>5</w:t>
      </w:r>
      <w:r>
        <w:rPr>
          <w:rFonts w:hint="eastAsia" w:ascii="仿宋" w:hAnsi="仿宋" w:eastAsia="仿宋" w:cs="仿宋"/>
          <w:spacing w:val="-4"/>
          <w:sz w:val="32"/>
          <w:szCs w:val="32"/>
        </w:rPr>
        <w:t>个工作日内，采购人向成交供应商支付合同总价款的</w:t>
      </w:r>
      <w:r>
        <w:rPr>
          <w:rFonts w:hint="eastAsia" w:ascii="仿宋" w:hAnsi="仿宋" w:cs="仿宋" w:eastAsiaTheme="minorEastAsia"/>
          <w:spacing w:val="-4"/>
          <w:sz w:val="32"/>
          <w:szCs w:val="32"/>
          <w:lang w:val="en-US" w:eastAsia="zh-CN"/>
        </w:rPr>
        <w:t>5</w:t>
      </w:r>
      <w:r>
        <w:rPr>
          <w:rFonts w:hint="eastAsia" w:ascii="仿宋" w:hAnsi="仿宋" w:eastAsia="PMingLiU" w:cs="仿宋"/>
          <w:spacing w:val="-4"/>
          <w:sz w:val="32"/>
          <w:szCs w:val="32"/>
        </w:rPr>
        <w:t>0</w:t>
      </w:r>
      <w:r>
        <w:rPr>
          <w:rFonts w:hint="eastAsia" w:ascii="仿宋" w:hAnsi="仿宋" w:eastAsia="仿宋" w:cs="仿宋"/>
          <w:spacing w:val="-4"/>
          <w:sz w:val="32"/>
          <w:szCs w:val="32"/>
        </w:rPr>
        <w:t>%。</w:t>
      </w:r>
    </w:p>
    <w:p w14:paraId="3588B7C5">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2期：</w:t>
      </w:r>
      <w:r>
        <w:rPr>
          <w:rFonts w:hint="eastAsia" w:ascii="仿宋" w:hAnsi="仿宋" w:eastAsia="仿宋" w:cs="仿宋"/>
          <w:spacing w:val="-4"/>
          <w:sz w:val="32"/>
          <w:szCs w:val="32"/>
          <w:lang w:eastAsia="zh-CN"/>
        </w:rPr>
        <w:t>完成平台所有技术功能开发，通过初步验收后</w:t>
      </w:r>
      <w:r>
        <w:rPr>
          <w:rFonts w:hint="eastAsia" w:ascii="仿宋" w:hAnsi="仿宋" w:eastAsia="仿宋" w:cs="仿宋"/>
          <w:spacing w:val="-4"/>
          <w:sz w:val="32"/>
          <w:szCs w:val="32"/>
        </w:rPr>
        <w:t>，成交供应商按照采购人要求申请付款，采购人向成交供应商支付合同总价款的</w:t>
      </w:r>
      <w:r>
        <w:rPr>
          <w:rFonts w:hint="eastAsia" w:ascii="仿宋" w:hAnsi="仿宋" w:cs="仿宋" w:eastAsiaTheme="minorEastAsia"/>
          <w:spacing w:val="-4"/>
          <w:sz w:val="32"/>
          <w:szCs w:val="32"/>
          <w:lang w:val="en-US" w:eastAsia="zh-CN"/>
        </w:rPr>
        <w:t>3</w:t>
      </w:r>
      <w:r>
        <w:rPr>
          <w:rFonts w:hint="eastAsia" w:ascii="仿宋" w:hAnsi="仿宋" w:eastAsia="PMingLiU" w:cs="仿宋"/>
          <w:spacing w:val="-4"/>
          <w:sz w:val="32"/>
          <w:szCs w:val="32"/>
        </w:rPr>
        <w:t>0</w:t>
      </w:r>
      <w:r>
        <w:rPr>
          <w:rFonts w:hint="eastAsia" w:ascii="仿宋" w:hAnsi="仿宋" w:eastAsia="仿宋" w:cs="仿宋"/>
          <w:spacing w:val="-4"/>
          <w:sz w:val="32"/>
          <w:szCs w:val="32"/>
        </w:rPr>
        <w:t>%。</w:t>
      </w:r>
    </w:p>
    <w:p w14:paraId="1CF363AA">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rPr>
        <w:t>期：</w:t>
      </w:r>
      <w:r>
        <w:rPr>
          <w:rFonts w:hint="eastAsia" w:ascii="仿宋" w:hAnsi="仿宋" w:eastAsia="仿宋" w:cs="仿宋"/>
          <w:spacing w:val="-4"/>
          <w:sz w:val="32"/>
          <w:szCs w:val="32"/>
          <w:lang w:eastAsia="zh-CN"/>
        </w:rPr>
        <w:t>所有技术功能成功上线，项目通过验收</w:t>
      </w:r>
      <w:r>
        <w:rPr>
          <w:rFonts w:hint="eastAsia" w:ascii="仿宋" w:hAnsi="仿宋" w:eastAsia="仿宋" w:cs="仿宋"/>
          <w:spacing w:val="-4"/>
          <w:sz w:val="32"/>
          <w:szCs w:val="32"/>
        </w:rPr>
        <w:t>后，成交供应商按照采购人要求申请付款，采购人向成交供应商支付合同总价款的剩余款项，即合同总价款的</w:t>
      </w:r>
      <w:r>
        <w:rPr>
          <w:rFonts w:hint="eastAsia" w:ascii="仿宋" w:hAnsi="仿宋" w:eastAsia="仿宋" w:cs="仿宋"/>
          <w:spacing w:val="-4"/>
          <w:sz w:val="32"/>
          <w:szCs w:val="32"/>
          <w:lang w:val="en-US" w:eastAsia="zh-CN"/>
        </w:rPr>
        <w:t>2</w:t>
      </w:r>
      <w:r>
        <w:rPr>
          <w:rFonts w:hint="eastAsia" w:ascii="仿宋" w:hAnsi="仿宋" w:eastAsia="仿宋" w:cs="仿宋"/>
          <w:spacing w:val="-4"/>
          <w:sz w:val="32"/>
          <w:szCs w:val="32"/>
        </w:rPr>
        <w:t>0%。</w:t>
      </w:r>
    </w:p>
    <w:p w14:paraId="2694EA3F">
      <w:pPr>
        <w:snapToGrid w:val="0"/>
        <w:spacing w:line="579" w:lineRule="exact"/>
        <w:ind w:firstLine="624" w:firstLineChars="200"/>
        <w:rPr>
          <w:b/>
          <w:bCs/>
          <w:sz w:val="32"/>
          <w:szCs w:val="32"/>
        </w:rPr>
      </w:pPr>
      <w:r>
        <w:rPr>
          <w:rFonts w:hint="eastAsia" w:ascii="仿宋" w:hAnsi="仿宋" w:eastAsia="仿宋" w:cs="仿宋"/>
          <w:spacing w:val="-4"/>
          <w:sz w:val="32"/>
          <w:szCs w:val="32"/>
        </w:rPr>
        <w:t>注: 每次支付款时，成交供应商向采购人提供相应金额的正式发票。</w:t>
      </w:r>
    </w:p>
    <w:p w14:paraId="4F1E71E8">
      <w:pPr>
        <w:spacing w:line="560" w:lineRule="exact"/>
        <w:jc w:val="left"/>
        <w:rPr>
          <w:rFonts w:ascii="仿宋_GB2312" w:hAnsi="仿宋_GB2312" w:eastAsia="仿宋_GB2312" w:cs="仿宋_GB2312"/>
          <w:sz w:val="32"/>
          <w:szCs w:val="32"/>
        </w:rPr>
      </w:pPr>
    </w:p>
    <w:p w14:paraId="3E97916D">
      <w:pPr>
        <w:spacing w:line="560" w:lineRule="exact"/>
        <w:ind w:left="6072" w:leftChars="1520" w:hanging="2880" w:hangingChars="9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横琴粤澳深度合作区城市规划和建设局</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w:t>
      </w:r>
    </w:p>
    <w:p w14:paraId="7C7F4300">
      <w:pPr>
        <w:pStyle w:val="2"/>
        <w:rPr>
          <w:rFonts w:hint="eastAsia" w:ascii="仿宋_GB2312" w:hAnsi="仿宋_GB2312" w:eastAsia="仿宋_GB2312" w:cs="仿宋_GB2312"/>
          <w:sz w:val="32"/>
          <w:szCs w:val="32"/>
          <w:highlight w:val="none"/>
        </w:rPr>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pPr>
    </w:p>
    <w:p w14:paraId="510ED0B1">
      <w:pPr>
        <w:pStyle w:val="2"/>
        <w:ind w:left="0" w:leftChars="0" w:firstLine="0" w:firstLineChars="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 xml:space="preserve"> </w:t>
      </w:r>
    </w:p>
    <w:p w14:paraId="10F5C6CC">
      <w:pPr>
        <w:keepLines/>
        <w:widowControl/>
        <w:adjustRightInd w:val="0"/>
        <w:snapToGrid w:val="0"/>
        <w:spacing w:line="360" w:lineRule="auto"/>
        <w:jc w:val="center"/>
        <w:rPr>
          <w:rFonts w:hint="eastAsia" w:ascii="方正小标宋简体" w:hAnsi="方正小标宋简体" w:eastAsia="方正小标宋简体" w:cs="方正小标宋简体"/>
          <w:color w:val="FF0000"/>
          <w:sz w:val="24"/>
          <w:u w:val="single"/>
        </w:rPr>
      </w:pPr>
      <w:r>
        <w:rPr>
          <w:rFonts w:hint="eastAsia" w:ascii="方正小标宋简体" w:hAnsi="方正小标宋简体" w:eastAsia="方正小标宋简体" w:cs="方正小标宋简体"/>
          <w:sz w:val="32"/>
          <w:szCs w:val="32"/>
          <w:lang w:eastAsia="zh-CN"/>
        </w:rPr>
        <w:t>横琴粤澳深度合作区碳普惠平台开发升级改造项目技术要求</w:t>
      </w:r>
    </w:p>
    <w:tbl>
      <w:tblPr>
        <w:tblStyle w:val="18"/>
        <w:tblW w:w="9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756"/>
        <w:gridCol w:w="1308"/>
        <w:gridCol w:w="2496"/>
        <w:gridCol w:w="4634"/>
      </w:tblGrid>
      <w:tr w14:paraId="6777E857">
        <w:trPr>
          <w:trHeight w:val="288"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42B0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C58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平台</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552B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类别</w:t>
            </w: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0EF9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功能</w:t>
            </w:r>
          </w:p>
        </w:tc>
        <w:tc>
          <w:tcPr>
            <w:tcW w:w="4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7CC3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相关说明</w:t>
            </w:r>
          </w:p>
        </w:tc>
      </w:tr>
      <w:tr w14:paraId="2505BFF8">
        <w:trPr>
          <w:trHeight w:val="288"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CF76">
            <w:pPr>
              <w:jc w:val="center"/>
              <w:rPr>
                <w:rFonts w:hint="eastAsia" w:ascii="仿宋_GB2312" w:hAnsi="仿宋_GB2312" w:eastAsia="仿宋_GB2312" w:cs="仿宋_GB2312"/>
                <w:b/>
                <w:bCs/>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99CD">
            <w:pPr>
              <w:jc w:val="both"/>
              <w:rPr>
                <w:rFonts w:hint="eastAsia" w:ascii="仿宋_GB2312" w:hAnsi="仿宋_GB2312" w:eastAsia="仿宋_GB2312" w:cs="仿宋_GB2312"/>
                <w:b/>
                <w:bCs/>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E7757">
            <w:pPr>
              <w:jc w:val="both"/>
              <w:rPr>
                <w:rFonts w:hint="eastAsia" w:ascii="仿宋_GB2312" w:hAnsi="仿宋_GB2312" w:eastAsia="仿宋_GB2312" w:cs="仿宋_GB2312"/>
                <w:b/>
                <w:bCs/>
                <w:i w:val="0"/>
                <w:iCs w:val="0"/>
                <w:color w:val="000000"/>
                <w:sz w:val="24"/>
                <w:szCs w:val="24"/>
                <w:u w:val="none"/>
              </w:rPr>
            </w:pP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98CB">
            <w:pPr>
              <w:jc w:val="both"/>
              <w:rPr>
                <w:rFonts w:hint="eastAsia" w:ascii="仿宋_GB2312" w:hAnsi="仿宋_GB2312" w:eastAsia="仿宋_GB2312" w:cs="仿宋_GB2312"/>
                <w:b/>
                <w:bCs/>
                <w:i w:val="0"/>
                <w:iCs w:val="0"/>
                <w:color w:val="000000"/>
                <w:sz w:val="24"/>
                <w:szCs w:val="24"/>
                <w:u w:val="none"/>
              </w:rPr>
            </w:pPr>
          </w:p>
        </w:tc>
        <w:tc>
          <w:tcPr>
            <w:tcW w:w="4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DDCBE">
            <w:pPr>
              <w:jc w:val="both"/>
              <w:rPr>
                <w:rFonts w:hint="eastAsia" w:ascii="仿宋_GB2312" w:hAnsi="仿宋_GB2312" w:eastAsia="仿宋_GB2312" w:cs="仿宋_GB2312"/>
                <w:b/>
                <w:bCs/>
                <w:i w:val="0"/>
                <w:iCs w:val="0"/>
                <w:color w:val="000000"/>
                <w:sz w:val="24"/>
                <w:szCs w:val="24"/>
                <w:u w:val="none"/>
              </w:rPr>
            </w:pPr>
          </w:p>
        </w:tc>
      </w:tr>
      <w:tr w14:paraId="41699179">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0B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EA553">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小程序端</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14A7C">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绿色行为场景拓展</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0B9E">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新增共享单车场景</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7B3A">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772A9596">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86D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BEBDC">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9AAF">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6B0D">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对接通琴号平台优化公交出行场景</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8846">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1577ACD1">
        <w:trPr>
          <w:trHeight w:val="86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71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D582">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F2E3">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62B9">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五大特色低碳场景拓展</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5616">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对低碳景点、绿色餐厅、绿色酒店、低碳乐园、低碳活动五大场景进行拓展，实现“定位打卡-知识答题-获取积分”等机制</w:t>
            </w:r>
          </w:p>
        </w:tc>
      </w:tr>
      <w:tr w14:paraId="0B224D1D">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34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E299F">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1EDB0">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35CE">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新增低碳旅游路线功能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FCC8">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6AE646ED">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B27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80AA6">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5C5D">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7B81">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新增线上办事功能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3107">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与琴城易小程序部分功能进行对接</w:t>
            </w:r>
          </w:p>
        </w:tc>
      </w:tr>
      <w:tr w14:paraId="7A9CA17C">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2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BE01">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2A8C">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F53B">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改造低碳学习板块功能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B899">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改造后该功能包括科普知识学习、低碳答题和链接横琴湿地公众号</w:t>
            </w:r>
          </w:p>
        </w:tc>
      </w:tr>
      <w:tr w14:paraId="2BDE1A36">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22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11AA">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62C3">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ADAF">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改造低碳写作、创意DIY、环保绘画</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B407">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分别设定月度参与次数上限，增加对作品的文字描述</w:t>
            </w:r>
          </w:p>
        </w:tc>
      </w:tr>
      <w:tr w14:paraId="1854E10F">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245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4644">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4B644">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BBD8">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优化垃圾分类小游戏</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A7A4">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更新题库，新增50个垃圾种类</w:t>
            </w:r>
          </w:p>
        </w:tc>
      </w:tr>
      <w:tr w14:paraId="67128BE7">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38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9A17">
            <w:pPr>
              <w:jc w:val="both"/>
              <w:rPr>
                <w:rFonts w:hint="eastAsia" w:ascii="仿宋_GB2312" w:hAnsi="仿宋_GB2312" w:eastAsia="仿宋_GB2312" w:cs="仿宋_GB2312"/>
                <w:i w:val="0"/>
                <w:iCs w:val="0"/>
                <w:color w:val="000000"/>
                <w:sz w:val="24"/>
                <w:szCs w:val="24"/>
                <w:u w:val="none"/>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6D19B">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互动与社交功能强化</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8F34">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新增积分挑战赛功能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2D4E">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包括团队赛、个人赛</w:t>
            </w:r>
          </w:p>
        </w:tc>
      </w:tr>
      <w:tr w14:paraId="08AD7946">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F5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B409">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588D">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3204">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强化分享功能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B8E6">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实现荣誉证书分享、低碳旅游路线分享、活动分享</w:t>
            </w:r>
          </w:p>
        </w:tc>
      </w:tr>
      <w:tr w14:paraId="4CCC6136">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47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FB2A">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03760">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E9DC">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新增碳中和专区</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D24A">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实现企业、活动等碳中和申请及展示等</w:t>
            </w:r>
          </w:p>
        </w:tc>
      </w:tr>
      <w:tr w14:paraId="59F16E6F">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BB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84A0">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1E72">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D0CC">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新增表单活动功能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48E5">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实现活动报名、抽签、中签等</w:t>
            </w:r>
          </w:p>
        </w:tc>
      </w:tr>
      <w:tr w14:paraId="3606F66E">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CA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A2185">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B8AB">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0FCC">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新增志愿者活动功能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D262">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包括志愿者信息填报、活动报名、积分奖励等</w:t>
            </w:r>
          </w:p>
        </w:tc>
      </w:tr>
      <w:tr w14:paraId="7B4CA120">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A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0963C">
            <w:pPr>
              <w:jc w:val="both"/>
              <w:rPr>
                <w:rFonts w:hint="eastAsia" w:ascii="仿宋_GB2312" w:hAnsi="仿宋_GB2312" w:eastAsia="仿宋_GB2312" w:cs="仿宋_GB2312"/>
                <w:i w:val="0"/>
                <w:iCs w:val="0"/>
                <w:color w:val="000000"/>
                <w:sz w:val="24"/>
                <w:szCs w:val="24"/>
                <w:u w:val="none"/>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0550B">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用户体验和参与深度提升</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AB17">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升级兑换权益体系</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DB9C">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新增商家“精选推荐”、完善兑换规则、新增“低碳金融专区”</w:t>
            </w:r>
          </w:p>
        </w:tc>
      </w:tr>
      <w:tr w14:paraId="634F1823">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5E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73CA">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1F1F">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0222">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新增创意征集活动功能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8056">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5FA6C398">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68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5F5E5">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E7D98">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804B">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新增碳积分捐赠活动</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ADEB">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13C05EC3">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CF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3AD6">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EDA98">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6406">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升级荣誉体系</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4846">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满足达到积分目标生产荣誉证书，年度重置低碳称号等</w:t>
            </w:r>
          </w:p>
        </w:tc>
      </w:tr>
      <w:tr w14:paraId="1347701A">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1A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4FCC">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6630F">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D3DF">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积分过期唤醒</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A43E">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1694A638">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F74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C93C">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44ED">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8AB4">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增加积分消纳途径</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9928">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与琴城易积分双向兑换等</w:t>
            </w:r>
          </w:p>
        </w:tc>
      </w:tr>
      <w:tr w14:paraId="05DC7B95">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749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DC92">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C06A5">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5725">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优化拍照上传查重</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090D">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7CEBB26E">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2B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AE37">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8EB5">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21B3">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增加繁体界面选择</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D9CC">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0A581AC7">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93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F13F">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95B4">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64CD">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新增扫码领取积分功能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DA4D">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16ED2D65">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F4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F8C8">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2423">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0A24">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实现兑换码确认</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5A74">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3A88FAAF">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36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67C9">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7007">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BC22">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手机号授权机制</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93D2">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79ECAF26">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27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7B6D2">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4F8EB">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C6EB">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首页布局调整</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5F4">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3016752F">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0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8657">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C3DC">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204B">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调整签到积分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CE44">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64F3F9D2">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7FB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6BD8A">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3A6F">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1848">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新增抽奖功能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0481">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641C684F">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6F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947D">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F10E">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7F45">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新增全平台公告</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7604">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14:paraId="584EE9C3">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05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04104">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后台管理端</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8F2EB">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绿色行为场景拓展管理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739F">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积分管理功能</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DC8F">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包括打卡点管理、题库管理、积分任务管理等</w:t>
            </w:r>
          </w:p>
        </w:tc>
      </w:tr>
      <w:tr w14:paraId="43D8B82B">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CCB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206F">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6E5E">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F9E1">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低碳旅游路线管理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66EE">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包括出行方式推荐、路线维护、单点位礼品配置等</w:t>
            </w:r>
          </w:p>
        </w:tc>
      </w:tr>
      <w:tr w14:paraId="6C077C55">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80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7514">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784C9">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511C">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低碳场景规则调整</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2447">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为主/子账号设置三大创作场景月度参与次数；增加作品描述</w:t>
            </w:r>
          </w:p>
        </w:tc>
      </w:tr>
      <w:tr w14:paraId="7DA30665">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F6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1A50">
            <w:pPr>
              <w:jc w:val="both"/>
              <w:rPr>
                <w:rFonts w:hint="eastAsia" w:ascii="仿宋_GB2312" w:hAnsi="仿宋_GB2312" w:eastAsia="仿宋_GB2312" w:cs="仿宋_GB2312"/>
                <w:i w:val="0"/>
                <w:iCs w:val="0"/>
                <w:color w:val="000000"/>
                <w:sz w:val="24"/>
                <w:szCs w:val="24"/>
                <w:u w:val="none"/>
              </w:rPr>
            </w:pPr>
          </w:p>
        </w:tc>
        <w:tc>
          <w:tcPr>
            <w:tcW w:w="1308" w:type="dxa"/>
            <w:vMerge w:val="restart"/>
            <w:tcBorders>
              <w:top w:val="single" w:color="000000" w:sz="4" w:space="0"/>
              <w:left w:val="single" w:color="000000" w:sz="4" w:space="0"/>
              <w:bottom w:val="nil"/>
              <w:right w:val="single" w:color="000000" w:sz="4" w:space="0"/>
            </w:tcBorders>
            <w:shd w:val="clear" w:color="auto" w:fill="auto"/>
            <w:vAlign w:val="center"/>
          </w:tcPr>
          <w:p w14:paraId="19AEA458">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互动与社交功能强化管理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20BF">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积分挑战活动管理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A17F">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包括活动配置、队伍管理、排行榜信息等</w:t>
            </w:r>
          </w:p>
        </w:tc>
      </w:tr>
      <w:tr w14:paraId="18F1D350">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D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3B81">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nil"/>
              <w:right w:val="single" w:color="000000" w:sz="4" w:space="0"/>
            </w:tcBorders>
            <w:shd w:val="clear" w:color="auto" w:fill="auto"/>
            <w:vAlign w:val="center"/>
          </w:tcPr>
          <w:p w14:paraId="3DDB4DF5">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ED7C">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碳中和专区管理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9CF8">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包括审核管理、展示管理等</w:t>
            </w:r>
          </w:p>
        </w:tc>
      </w:tr>
      <w:tr w14:paraId="169643F9">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3C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D468">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nil"/>
              <w:right w:val="single" w:color="000000" w:sz="4" w:space="0"/>
            </w:tcBorders>
            <w:shd w:val="clear" w:color="auto" w:fill="auto"/>
            <w:vAlign w:val="center"/>
          </w:tcPr>
          <w:p w14:paraId="15BC6BD2">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50D3">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表单活动管理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C949">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包括活动配置、参与记录查询等</w:t>
            </w:r>
          </w:p>
        </w:tc>
      </w:tr>
      <w:tr w14:paraId="75CDD2B7">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2F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E32E">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nil"/>
              <w:right w:val="single" w:color="000000" w:sz="4" w:space="0"/>
            </w:tcBorders>
            <w:shd w:val="clear" w:color="auto" w:fill="auto"/>
            <w:vAlign w:val="center"/>
          </w:tcPr>
          <w:p w14:paraId="7CA92DE2">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2A3F">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志愿者管理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B0DD">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包括新增志愿者申请管理、志愿者活动管理等</w:t>
            </w:r>
          </w:p>
        </w:tc>
      </w:tr>
      <w:tr w14:paraId="6A763BC1">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60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1ADDC">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nil"/>
              <w:right w:val="single" w:color="000000" w:sz="4" w:space="0"/>
            </w:tcBorders>
            <w:shd w:val="clear" w:color="auto" w:fill="auto"/>
            <w:vAlign w:val="center"/>
          </w:tcPr>
          <w:p w14:paraId="3BA94910">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394B">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低碳学习内容管理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CDBE">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配置答题题库，配置外部学习链接（如横琴湿地公众号）</w:t>
            </w:r>
          </w:p>
        </w:tc>
      </w:tr>
      <w:tr w14:paraId="284E29C8">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522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3FE8">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nil"/>
              <w:right w:val="single" w:color="000000" w:sz="4" w:space="0"/>
            </w:tcBorders>
            <w:shd w:val="clear" w:color="auto" w:fill="auto"/>
            <w:vAlign w:val="center"/>
          </w:tcPr>
          <w:p w14:paraId="21FB6AA6">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DE40">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线上办事管理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5B2F">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配置“琴城易”链接地址、启用状态，停用后小程序入口自动隐藏</w:t>
            </w:r>
          </w:p>
        </w:tc>
      </w:tr>
      <w:tr w14:paraId="474EBBFC">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8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7217">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nil"/>
              <w:right w:val="single" w:color="000000" w:sz="4" w:space="0"/>
            </w:tcBorders>
            <w:shd w:val="clear" w:color="auto" w:fill="auto"/>
            <w:vAlign w:val="center"/>
          </w:tcPr>
          <w:p w14:paraId="169A2FDA">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AC4A">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垃圾分类管理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BAAE">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配置答题时垃圾图标个数，题库更新</w:t>
            </w:r>
          </w:p>
        </w:tc>
      </w:tr>
      <w:tr w14:paraId="057687E4">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D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149E">
            <w:pPr>
              <w:jc w:val="both"/>
              <w:rPr>
                <w:rFonts w:hint="eastAsia" w:ascii="仿宋_GB2312" w:hAnsi="仿宋_GB2312" w:eastAsia="仿宋_GB2312" w:cs="仿宋_GB2312"/>
                <w:i w:val="0"/>
                <w:iCs w:val="0"/>
                <w:color w:val="000000"/>
                <w:sz w:val="24"/>
                <w:szCs w:val="24"/>
                <w:u w:val="none"/>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73589">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用户体验和参与深度提升管理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E1FC">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升级兑换商城管理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D748">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结合前端功能实现专区配置、商品折扣设置、外部接口对接</w:t>
            </w:r>
          </w:p>
        </w:tc>
      </w:tr>
      <w:tr w14:paraId="6F964584">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CA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002BA">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F7026">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30DE">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创意征集活动管理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44D2">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包括活动配置、评审管理、奖品配置、奖励发放等</w:t>
            </w:r>
          </w:p>
        </w:tc>
      </w:tr>
      <w:tr w14:paraId="60F7ED96">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34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7550">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108C9">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A3A7">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碳积分捐赠活动管理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B926">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包括活动配置、进度管理等</w:t>
            </w:r>
          </w:p>
        </w:tc>
      </w:tr>
      <w:tr w14:paraId="62CF82C6">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E5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66BEE">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F0DA1">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D913">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抽奖活动管理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9AA9">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包括抽奖活动管理、抽奖奖品管理、抽奖记录查询等</w:t>
            </w:r>
          </w:p>
        </w:tc>
      </w:tr>
      <w:tr w14:paraId="7A073D93">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87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C3222">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0167">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AF9F">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公告管理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2459">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创建公告并选择类型，关联活动/任务，设置显示时间、推送频率</w:t>
            </w:r>
          </w:p>
        </w:tc>
      </w:tr>
      <w:tr w14:paraId="4083EC73">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81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32CE">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9290">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A8FE">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手动发放积分管理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F432">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包括发放流程、记录查询等</w:t>
            </w:r>
          </w:p>
        </w:tc>
      </w:tr>
      <w:tr w14:paraId="4A2646F7">
        <w:trPr>
          <w:trHeight w:val="28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09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7FF8">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C7FD">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584B">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运营管理</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32D9">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包括登录统计、打卡分析等</w:t>
            </w:r>
          </w:p>
        </w:tc>
      </w:tr>
      <w:tr w14:paraId="787F17F9">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98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E90C">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0335C">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3220">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兑换码核销</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68C8">
            <w:pPr>
              <w:keepNext w:val="0"/>
              <w:keepLines w:val="0"/>
              <w:widowControl/>
              <w:suppressLineNumbers w:val="0"/>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查看用户核销记录，校验核销码有效性，支持手动标记核销状态</w:t>
            </w:r>
          </w:p>
        </w:tc>
      </w:tr>
      <w:tr w14:paraId="7373E0C4">
        <w:trPr>
          <w:trHeight w:val="576"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50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9522">
            <w:pPr>
              <w:jc w:val="both"/>
              <w:rPr>
                <w:rFonts w:hint="eastAsia" w:ascii="仿宋_GB2312" w:hAnsi="仿宋_GB2312" w:eastAsia="仿宋_GB2312" w:cs="仿宋_GB2312"/>
                <w:i w:val="0"/>
                <w:iCs w:val="0"/>
                <w:color w:val="000000"/>
                <w:sz w:val="24"/>
                <w:szCs w:val="24"/>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27FB">
            <w:pPr>
              <w:jc w:val="both"/>
              <w:rPr>
                <w:rFonts w:hint="eastAsia" w:ascii="仿宋_GB2312" w:hAnsi="仿宋_GB2312" w:eastAsia="仿宋_GB2312" w:cs="仿宋_GB2312"/>
                <w:i w:val="0"/>
                <w:iCs w:val="0"/>
                <w:color w:val="000000"/>
                <w:sz w:val="24"/>
                <w:szCs w:val="24"/>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A25">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其他系统规则和功能优化</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50B8">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包括扫码领取积分、积分重置配置、低碳称号级别重置、用户信息展示等</w:t>
            </w:r>
          </w:p>
        </w:tc>
      </w:tr>
    </w:tbl>
    <w:p w14:paraId="6D4CDFC4">
      <w:pPr>
        <w:pStyle w:val="2"/>
        <w:ind w:left="0" w:leftChars="0" w:firstLine="0" w:firstLineChars="0"/>
      </w:pPr>
    </w:p>
    <w:sectPr>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Tahoma">
    <w:panose1 w:val="020B0804030504040204"/>
    <w:charset w:val="00"/>
    <w:family w:val="swiss"/>
    <w:pitch w:val="default"/>
    <w:sig w:usb0="E1002AFF" w:usb1="C000605B" w:usb2="00000029" w:usb3="00000000" w:csb0="200101FF" w:csb1="20280000"/>
  </w:font>
  <w:font w:name="方正小标宋简体">
    <w:altName w:val="汉仪书宋二KW"/>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PMingLiU">
    <w:altName w:val="宋体-繁"/>
    <w:panose1 w:val="02020500000000000000"/>
    <w:charset w:val="88"/>
    <w:family w:val="auto"/>
    <w:pitch w:val="default"/>
    <w:sig w:usb0="00000000" w:usb1="00000000" w:usb2="00000016" w:usb3="00000000" w:csb0="0010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宋体-繁">
    <w:panose1 w:val="02010600040101010101"/>
    <w:charset w:val="86"/>
    <w:family w:val="auto"/>
    <w:pitch w:val="default"/>
    <w:sig w:usb0="00000287" w:usb1="080F0000" w:usb2="00000000" w:usb3="00000000" w:csb0="0004009F" w:csb1="DFD7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2443">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- 5 -</w:t>
    </w:r>
    <w:r>
      <w:rPr>
        <w:rFonts w:ascii="宋体" w:hAnsi="宋体"/>
        <w:sz w:val="24"/>
        <w:szCs w:val="24"/>
      </w:rPr>
      <w:fldChar w:fldCharType="end"/>
    </w:r>
  </w:p>
  <w:p w14:paraId="0DD3A8E4">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FF1E">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14:paraId="1C878700">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OGVlZWQyMjNmOGJjMjc4ZDFhOGM3NDg5Mjc0YjA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1BB7"/>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10F0"/>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1683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3B18"/>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27EC"/>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0F3F"/>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258"/>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4727"/>
    <w:rsid w:val="00AC4CD9"/>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513"/>
    <w:rsid w:val="00B2077B"/>
    <w:rsid w:val="00B225BD"/>
    <w:rsid w:val="00B24300"/>
    <w:rsid w:val="00B24C8F"/>
    <w:rsid w:val="00B25C8A"/>
    <w:rsid w:val="00B25D04"/>
    <w:rsid w:val="00B2671B"/>
    <w:rsid w:val="00B3028B"/>
    <w:rsid w:val="00B32870"/>
    <w:rsid w:val="00B330C9"/>
    <w:rsid w:val="00B33A62"/>
    <w:rsid w:val="00B34C55"/>
    <w:rsid w:val="00B35D40"/>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5A4"/>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254D0"/>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34FDB"/>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DA7CF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24B4"/>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A4A81"/>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0C2137"/>
    <w:rsid w:val="211C60E8"/>
    <w:rsid w:val="21224FD1"/>
    <w:rsid w:val="21502BF8"/>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AB54A5"/>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B040C"/>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3DDB"/>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862C8"/>
    <w:rsid w:val="3EDE5327"/>
    <w:rsid w:val="3EFA7719"/>
    <w:rsid w:val="3EFB6DF6"/>
    <w:rsid w:val="3EFF322F"/>
    <w:rsid w:val="3F107510"/>
    <w:rsid w:val="3F117FFE"/>
    <w:rsid w:val="3F244F34"/>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C13EED"/>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5777F"/>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73CE3"/>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095E3A"/>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2D706C"/>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BF5A24"/>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4D000E"/>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B33DE8"/>
    <w:rsid w:val="68FE3B8C"/>
    <w:rsid w:val="69166546"/>
    <w:rsid w:val="69217AE5"/>
    <w:rsid w:val="692F323F"/>
    <w:rsid w:val="693A63CF"/>
    <w:rsid w:val="69493E89"/>
    <w:rsid w:val="69563878"/>
    <w:rsid w:val="69637259"/>
    <w:rsid w:val="69666073"/>
    <w:rsid w:val="697366F8"/>
    <w:rsid w:val="69776249"/>
    <w:rsid w:val="697D3521"/>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9111A8"/>
    <w:rsid w:val="6DA46816"/>
    <w:rsid w:val="6DA70ACF"/>
    <w:rsid w:val="6DBB1F79"/>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D14CF7"/>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8C61736"/>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AA7254"/>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3E13E1"/>
    <w:rsid w:val="7F55274F"/>
    <w:rsid w:val="7F5877DF"/>
    <w:rsid w:val="7F675882"/>
    <w:rsid w:val="7F6E0A32"/>
    <w:rsid w:val="7F926436"/>
    <w:rsid w:val="7FBC153D"/>
    <w:rsid w:val="7FCF28BD"/>
    <w:rsid w:val="7FD971C9"/>
    <w:rsid w:val="7FE550FF"/>
    <w:rsid w:val="F5F9B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ind w:firstLine="596" w:firstLineChars="200"/>
      <w:outlineLvl w:val="0"/>
    </w:pPr>
    <w:rPr>
      <w:rFonts w:ascii="黑体" w:eastAsia="黑体"/>
      <w:b/>
      <w:sz w:val="32"/>
      <w:szCs w:val="22"/>
    </w:rPr>
  </w:style>
  <w:style w:type="paragraph" w:styleId="5">
    <w:name w:val="heading 2"/>
    <w:basedOn w:val="1"/>
    <w:next w:val="1"/>
    <w:link w:val="38"/>
    <w:unhideWhenUsed/>
    <w:qFormat/>
    <w:uiPriority w:val="0"/>
    <w:pPr>
      <w:ind w:firstLine="596" w:firstLineChars="200"/>
      <w:outlineLvl w:val="1"/>
    </w:pPr>
    <w:rPr>
      <w:rFonts w:ascii="楷体_GB2312" w:eastAsia="楷体_GB2312"/>
      <w:b/>
      <w:sz w:val="32"/>
      <w:szCs w:val="2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color w:val="000000"/>
      <w:szCs w:val="20"/>
    </w:rPr>
  </w:style>
  <w:style w:type="paragraph" w:styleId="3">
    <w:name w:val="Body Text"/>
    <w:basedOn w:val="1"/>
    <w:next w:val="1"/>
    <w:qFormat/>
    <w:uiPriority w:val="0"/>
    <w:pPr>
      <w:spacing w:after="120"/>
    </w:pPr>
  </w:style>
  <w:style w:type="paragraph" w:styleId="8">
    <w:name w:val="annotation text"/>
    <w:basedOn w:val="1"/>
    <w:semiHidden/>
    <w:qFormat/>
    <w:uiPriority w:val="0"/>
    <w:pPr>
      <w:jc w:val="left"/>
    </w:pPr>
    <w:rPr>
      <w:szCs w:val="20"/>
    </w:r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1"/>
    <w:unhideWhenUsed/>
    <w:qFormat/>
    <w:uiPriority w:val="0"/>
    <w:pPr>
      <w:snapToGrid w:val="0"/>
      <w:jc w:val="left"/>
    </w:pPr>
    <w:rPr>
      <w:rFonts w:eastAsia="仿宋_GB2312"/>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99"/>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Char"/>
    <w:basedOn w:val="1"/>
    <w:qFormat/>
    <w:uiPriority w:val="0"/>
    <w:rPr>
      <w:szCs w:val="20"/>
    </w:rPr>
  </w:style>
  <w:style w:type="paragraph" w:customStyle="1" w:styleId="30">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1"/>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仿宋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标题 2 Char"/>
    <w:link w:val="5"/>
    <w:qFormat/>
    <w:uiPriority w:val="0"/>
    <w:rPr>
      <w:rFonts w:ascii="楷体_GB2312" w:eastAsia="楷体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脚注文本 Char"/>
    <w:link w:val="16"/>
    <w:semiHidden/>
    <w:qFormat/>
    <w:uiPriority w:val="0"/>
    <w:rPr>
      <w:rFonts w:eastAsia="仿宋_GB2312"/>
      <w:kern w:val="2"/>
      <w:sz w:val="18"/>
      <w:szCs w:val="18"/>
      <w:lang w:val="en-US" w:eastAsia="zh-CN" w:bidi="ar-SA"/>
    </w:rPr>
  </w:style>
  <w:style w:type="character" w:customStyle="1" w:styleId="42">
    <w:name w:val="标题 1 Char"/>
    <w:link w:val="4"/>
    <w:qFormat/>
    <w:uiPriority w:val="0"/>
    <w:rPr>
      <w:rFonts w:ascii="黑体" w:eastAsia="黑体"/>
      <w:b/>
      <w:kern w:val="2"/>
      <w:sz w:val="32"/>
      <w:szCs w:val="22"/>
      <w:lang w:val="en-US" w:eastAsia="zh-CN" w:bidi="ar-SA"/>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muying/Library/Containers/com.kingsoft.wpsoffice.mac/Data/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7</Pages>
  <Words>269</Words>
  <Characters>1537</Characters>
  <Lines>12</Lines>
  <Paragraphs>3</Paragraphs>
  <TotalTime>1</TotalTime>
  <ScaleCrop>false</ScaleCrop>
  <LinksUpToDate>false</LinksUpToDate>
  <CharactersWithSpaces>1803</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2023-11-22T16:42:00Z</dcterms:created>
  <dc:creator>陈微:</dc:creator>
  <cp:lastModifiedBy>RaphaelL</cp:lastModifiedBy>
  <cp:lastPrinted>2023-12-28T09:02:00Z</cp:lastPrinted>
  <dcterms:modified xsi:type="dcterms:W3CDTF">2025-11-27T16:32:53Z</dcterms:modified>
  <dc:title>珠横新规国字〔2010〕20号                 签发人：王瑞森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64C0ECD2719B40BD84AD68582284B87A</vt:lpwstr>
  </property>
</Properties>
</file>