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2"/>
          <w:rFonts w:ascii="仿宋" w:hAnsi="仿宋" w:eastAsia="仿宋" w:cs="仿宋"/>
          <w:sz w:val="24"/>
          <w:szCs w:val="24"/>
        </w:rPr>
      </w:pPr>
      <w:bookmarkStart w:id="0" w:name="_Toc26778"/>
      <w:bookmarkStart w:id="1" w:name="_Toc25031"/>
      <w:bookmarkStart w:id="2" w:name="_Toc22648"/>
      <w:bookmarkStart w:id="3" w:name="_Toc25943"/>
      <w:bookmarkStart w:id="4" w:name="_Toc8800"/>
      <w:bookmarkStart w:id="5" w:name="_Toc3582"/>
      <w:bookmarkStart w:id="6" w:name="_Toc5046"/>
      <w:bookmarkStart w:id="7" w:name="_Toc70015595"/>
      <w:bookmarkStart w:id="8" w:name="_Toc83237336"/>
      <w:bookmarkStart w:id="9" w:name="_Toc13465"/>
      <w:bookmarkStart w:id="10" w:name="_Toc24533"/>
      <w:bookmarkStart w:id="11" w:name="_Toc17796"/>
      <w:bookmarkStart w:id="12" w:name="_Toc29548"/>
      <w:bookmarkStart w:id="13" w:name="_Toc27635"/>
      <w:bookmarkStart w:id="14" w:name="_Toc6736"/>
      <w:bookmarkStart w:id="15" w:name="_Toc10390"/>
      <w:bookmarkStart w:id="16" w:name="_Toc3580"/>
      <w:bookmarkStart w:id="17" w:name="_Toc28990"/>
      <w:bookmarkStart w:id="18" w:name="_Toc4342"/>
      <w:r>
        <w:rPr>
          <w:rStyle w:val="12"/>
          <w:rFonts w:hint="eastAsia" w:ascii="仿宋" w:hAnsi="仿宋" w:eastAsia="仿宋" w:cs="仿宋"/>
          <w:sz w:val="30"/>
          <w:szCs w:val="30"/>
        </w:rPr>
        <w:t>附件一：技术评分</w:t>
      </w:r>
      <w:r>
        <w:rPr>
          <w:rFonts w:hint="eastAsia" w:ascii="仿宋" w:hAnsi="仿宋" w:eastAsia="仿宋" w:cs="仿宋"/>
          <w:sz w:val="30"/>
          <w:szCs w:val="30"/>
        </w:rPr>
        <w:t>细则</w:t>
      </w:r>
      <w:r>
        <w:rPr>
          <w:rStyle w:val="12"/>
          <w:rFonts w:hint="eastAsia" w:ascii="仿宋" w:hAnsi="仿宋" w:eastAsia="仿宋" w:cs="仿宋"/>
          <w:sz w:val="30"/>
          <w:szCs w:val="30"/>
        </w:rPr>
        <w:t>（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60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分）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tbl>
      <w:tblPr>
        <w:tblStyle w:val="10"/>
        <w:tblW w:w="8399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692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评审内容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评分细则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项目理解与需求分析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72"/>
              </w:tabs>
              <w:ind w:firstLine="0" w:firstLineChars="0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根据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项目需求书中</w:t>
            </w:r>
            <w:r>
              <w:rPr>
                <w:rFonts w:hint="eastAsia" w:ascii="仿宋" w:hAnsi="仿宋" w:eastAsia="仿宋" w:cs="仿宋"/>
                <w:kern w:val="0"/>
              </w:rPr>
              <w:t>的相关要求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kern w:val="0"/>
              </w:rPr>
              <w:t>提供的项目理解与需求分析进行评分</w:t>
            </w:r>
            <w:r>
              <w:rPr>
                <w:rFonts w:ascii="仿宋" w:hAnsi="仿宋" w:eastAsia="仿宋" w:cs="仿宋"/>
                <w:kern w:val="0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该部分内容</w:t>
            </w:r>
            <w:r>
              <w:rPr>
                <w:rFonts w:hint="eastAsia" w:ascii="仿宋" w:hAnsi="仿宋" w:eastAsia="仿宋" w:cs="仿宋"/>
                <w:kern w:val="0"/>
              </w:rPr>
              <w:t>包括但不限于本项目涉及的建设背景、项目目标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、建设现状、</w:t>
            </w:r>
            <w:r>
              <w:rPr>
                <w:rFonts w:hint="eastAsia" w:ascii="仿宋" w:hAnsi="仿宋" w:eastAsia="仿宋" w:cs="仿宋"/>
                <w:kern w:val="0"/>
              </w:rPr>
              <w:t>存在的问题、建设的必要性及可行性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</w:rPr>
              <w:t>建设需求分析等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。</w:t>
            </w:r>
          </w:p>
          <w:p>
            <w:pPr>
              <w:tabs>
                <w:tab w:val="left" w:pos="972"/>
              </w:tabs>
              <w:ind w:firstLine="0" w:firstLineChars="0"/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lang w:eastAsia="zh-CN"/>
              </w:rPr>
              <w:t>理解与需求分析内容</w:t>
            </w:r>
            <w:r>
              <w:rPr>
                <w:rFonts w:hint="eastAsia" w:ascii="仿宋" w:hAnsi="仿宋" w:eastAsia="仿宋" w:cs="仿宋"/>
                <w:kern w:val="0"/>
              </w:rPr>
              <w:t>准确、深刻</w:t>
            </w:r>
            <w:r>
              <w:rPr>
                <w:rFonts w:ascii="仿宋" w:hAnsi="仿宋" w:eastAsia="仿宋" w:cs="仿宋"/>
                <w:kern w:val="0"/>
              </w:rPr>
              <w:t>，完全满足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或</w:t>
            </w:r>
            <w:r>
              <w:rPr>
                <w:rFonts w:ascii="仿宋" w:hAnsi="仿宋" w:eastAsia="仿宋" w:cs="仿宋"/>
                <w:kern w:val="0"/>
              </w:rPr>
              <w:t>优于项目需求的得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  <w:r>
              <w:rPr>
                <w:rFonts w:hint="eastAsia" w:ascii="仿宋" w:hAnsi="仿宋" w:eastAsia="仿宋" w:cs="仿宋"/>
                <w:kern w:val="0"/>
              </w:rPr>
              <w:t xml:space="preserve"> 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lang w:eastAsia="zh-CN"/>
              </w:rPr>
              <w:t>理解与需求分析内容基本正确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，大部分</w:t>
            </w:r>
            <w:r>
              <w:rPr>
                <w:rFonts w:ascii="仿宋" w:hAnsi="仿宋" w:eastAsia="仿宋" w:cs="仿宋"/>
                <w:kern w:val="0"/>
              </w:rPr>
              <w:t>满足项目需求的的得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kern w:val="0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lang w:eastAsia="zh-CN"/>
              </w:rPr>
              <w:t>理解与需求分析内容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一般，基本满足项目需求</w:t>
            </w:r>
            <w:r>
              <w:rPr>
                <w:rFonts w:ascii="仿宋" w:hAnsi="仿宋" w:eastAsia="仿宋" w:cs="仿宋"/>
                <w:kern w:val="0"/>
              </w:rPr>
              <w:t>的得1</w:t>
            </w:r>
            <w:r>
              <w:rPr>
                <w:rFonts w:hint="default" w:ascii="仿宋" w:hAnsi="仿宋" w:eastAsia="仿宋" w:cs="仿宋"/>
                <w:kern w:val="0"/>
                <w:lang w:val="en-US"/>
              </w:rPr>
              <w:t>0</w:t>
            </w:r>
            <w:r>
              <w:rPr>
                <w:rFonts w:ascii="仿宋" w:hAnsi="仿宋" w:eastAsia="仿宋" w:cs="仿宋"/>
                <w:kern w:val="0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lang w:eastAsia="zh-CN"/>
              </w:rPr>
              <w:t>理解与需求分析内容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不准确，不能完全满足项目需求</w:t>
            </w:r>
            <w:r>
              <w:rPr>
                <w:rFonts w:ascii="仿宋" w:hAnsi="仿宋" w:eastAsia="仿宋" w:cs="仿宋"/>
                <w:kern w:val="0"/>
              </w:rPr>
              <w:t>的得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kern w:val="0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未提供本项内容</w:t>
            </w:r>
            <w:r>
              <w:rPr>
                <w:rFonts w:ascii="仿宋" w:hAnsi="仿宋" w:eastAsia="仿宋" w:cs="仿宋"/>
                <w:kern w:val="0"/>
              </w:rPr>
              <w:t>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技术方案（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  <w:bookmarkStart w:id="69" w:name="_GoBack"/>
            <w:bookmarkEnd w:id="69"/>
            <w:r>
              <w:rPr>
                <w:rFonts w:hint="eastAsia" w:ascii="仿宋" w:hAnsi="仿宋" w:eastAsia="仿宋" w:cs="仿宋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根据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项目需求书中</w:t>
            </w:r>
            <w:r>
              <w:rPr>
                <w:rFonts w:hint="eastAsia" w:ascii="仿宋" w:hAnsi="仿宋" w:eastAsia="仿宋" w:cs="仿宋"/>
                <w:kern w:val="0"/>
              </w:rPr>
              <w:t>的相关要求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kern w:val="0"/>
              </w:rPr>
              <w:t>提供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的技术方案进行评分。该部分</w:t>
            </w:r>
            <w:r>
              <w:rPr>
                <w:rFonts w:hint="default" w:ascii="仿宋" w:hAnsi="仿宋" w:eastAsia="仿宋" w:cs="仿宋"/>
                <w:kern w:val="0"/>
              </w:rPr>
              <w:t>包括但不限于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总体设计、前端功能实现方式、</w:t>
            </w:r>
            <w:r>
              <w:rPr>
                <w:rFonts w:hint="default" w:ascii="仿宋" w:hAnsi="仿宋" w:eastAsia="仿宋" w:cs="仿宋"/>
                <w:kern w:val="0"/>
              </w:rPr>
              <w:t>后台管理等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。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技术方案科学合理，切实可行，</w:t>
            </w:r>
            <w:r>
              <w:rPr>
                <w:rFonts w:hint="eastAsia" w:ascii="仿宋" w:hAnsi="仿宋" w:eastAsia="仿宋" w:cs="仿宋"/>
                <w:kern w:val="0"/>
              </w:rPr>
              <w:t>完全满足或优于项目需求的得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</w:rPr>
              <w:t xml:space="preserve">分； 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技术方案</w:t>
            </w:r>
            <w:r>
              <w:rPr>
                <w:rFonts w:ascii="仿宋" w:hAnsi="仿宋" w:eastAsia="仿宋" w:cs="仿宋"/>
                <w:kern w:val="0"/>
              </w:rPr>
              <w:t>较完整，有一定的可行性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，大部分</w:t>
            </w:r>
            <w:r>
              <w:rPr>
                <w:rFonts w:ascii="仿宋" w:hAnsi="仿宋" w:eastAsia="仿宋" w:cs="仿宋"/>
                <w:kern w:val="0"/>
              </w:rPr>
              <w:t>满足项目需求的</w:t>
            </w:r>
            <w:r>
              <w:rPr>
                <w:rFonts w:hint="eastAsia" w:ascii="仿宋" w:hAnsi="仿宋" w:eastAsia="仿宋" w:cs="仿宋"/>
                <w:kern w:val="0"/>
              </w:rPr>
              <w:t>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技术方案基本完整</w:t>
            </w:r>
            <w:r>
              <w:rPr>
                <w:rFonts w:ascii="仿宋" w:hAnsi="仿宋" w:eastAsia="仿宋" w:cs="仿宋"/>
                <w:kern w:val="0"/>
              </w:rPr>
              <w:t>，可行性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一般，基本</w:t>
            </w:r>
            <w:r>
              <w:rPr>
                <w:rFonts w:ascii="仿宋" w:hAnsi="仿宋" w:eastAsia="仿宋" w:cs="仿宋"/>
                <w:kern w:val="0"/>
              </w:rPr>
              <w:t>满足项目需求的</w:t>
            </w:r>
            <w:r>
              <w:rPr>
                <w:rFonts w:hint="eastAsia" w:ascii="仿宋" w:hAnsi="仿宋" w:eastAsia="仿宋" w:cs="仿宋"/>
                <w:kern w:val="0"/>
              </w:rPr>
              <w:t>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技术方案</w:t>
            </w:r>
            <w:r>
              <w:rPr>
                <w:rFonts w:ascii="仿宋" w:hAnsi="仿宋" w:eastAsia="仿宋" w:cs="仿宋"/>
                <w:kern w:val="0"/>
              </w:rPr>
              <w:t>不完整，可行性差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，不能完全</w:t>
            </w:r>
            <w:r>
              <w:rPr>
                <w:rFonts w:ascii="仿宋" w:hAnsi="仿宋" w:eastAsia="仿宋" w:cs="仿宋"/>
                <w:kern w:val="0"/>
              </w:rPr>
              <w:t>满足项目需求的</w:t>
            </w:r>
            <w:r>
              <w:rPr>
                <w:rFonts w:hint="eastAsia" w:ascii="仿宋" w:hAnsi="仿宋" w:eastAsia="仿宋" w:cs="仿宋"/>
                <w:kern w:val="0"/>
              </w:rPr>
              <w:t>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未提供本项内容不得分。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tabs>
                <w:tab w:val="left" w:pos="0"/>
                <w:tab w:val="left" w:pos="692"/>
              </w:tabs>
              <w:spacing w:line="360" w:lineRule="auto"/>
              <w:ind w:left="0"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项目实施方案（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根据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项目需求书中</w:t>
            </w:r>
            <w:r>
              <w:rPr>
                <w:rFonts w:hint="eastAsia" w:ascii="仿宋" w:hAnsi="仿宋" w:eastAsia="仿宋" w:cs="仿宋"/>
                <w:kern w:val="0"/>
              </w:rPr>
              <w:t>的相关要求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kern w:val="0"/>
              </w:rPr>
              <w:t>提供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的实施方案进行评分</w:t>
            </w:r>
            <w:r>
              <w:rPr>
                <w:rFonts w:ascii="仿宋" w:hAnsi="仿宋" w:eastAsia="仿宋" w:cs="仿宋"/>
                <w:kern w:val="0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该部分</w:t>
            </w:r>
            <w:r>
              <w:rPr>
                <w:rFonts w:hint="eastAsia" w:ascii="仿宋" w:hAnsi="仿宋" w:eastAsia="仿宋" w:cs="仿宋"/>
                <w:kern w:val="0"/>
              </w:rPr>
              <w:t>包括但不限于项目进度控制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</w:rPr>
              <w:t>组织架构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</w:rPr>
              <w:t>人员管理安排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</w:rPr>
              <w:t>安全保证措施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</w:rPr>
              <w:t>质量保证措施等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。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</w:t>
            </w:r>
            <w:r>
              <w:rPr>
                <w:rFonts w:ascii="仿宋" w:hAnsi="仿宋" w:eastAsia="仿宋" w:cs="仿宋"/>
                <w:kern w:val="0"/>
              </w:rPr>
              <w:t>方案科学合理，切实可行的，得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</w:t>
            </w:r>
            <w:r>
              <w:rPr>
                <w:rFonts w:ascii="仿宋" w:hAnsi="仿宋" w:eastAsia="仿宋" w:cs="仿宋"/>
                <w:kern w:val="0"/>
              </w:rPr>
              <w:t>方案较完整，有一定的可行性的，得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</w:t>
            </w:r>
            <w:r>
              <w:rPr>
                <w:rFonts w:ascii="仿宋" w:hAnsi="仿宋" w:eastAsia="仿宋" w:cs="仿宋"/>
                <w:kern w:val="0"/>
              </w:rPr>
              <w:t>方案基本完整，可行性一般的，得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</w:t>
            </w:r>
            <w:r>
              <w:rPr>
                <w:rFonts w:ascii="仿宋" w:hAnsi="仿宋" w:eastAsia="仿宋" w:cs="仿宋"/>
                <w:kern w:val="0"/>
              </w:rPr>
              <w:t>方案不完整，可行性差的，得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kern w:val="0"/>
              </w:rPr>
              <w:t>无相关内容的不得分。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tabs>
                <w:tab w:val="left" w:pos="0"/>
                <w:tab w:val="left" w:pos="692"/>
              </w:tabs>
              <w:spacing w:line="360" w:lineRule="auto"/>
              <w:ind w:left="0"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运维服务方案</w:t>
            </w:r>
          </w:p>
          <w:p>
            <w:pPr>
              <w:ind w:firstLine="24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分）</w:t>
            </w:r>
          </w:p>
        </w:tc>
        <w:tc>
          <w:tcPr>
            <w:tcW w:w="6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根据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项目需求书中</w:t>
            </w:r>
            <w:r>
              <w:rPr>
                <w:rFonts w:hint="eastAsia" w:ascii="仿宋" w:hAnsi="仿宋" w:eastAsia="仿宋" w:cs="仿宋"/>
                <w:kern w:val="0"/>
              </w:rPr>
              <w:t>的相关要求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kern w:val="0"/>
              </w:rPr>
              <w:t>提供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的运维服务方案进行评分</w:t>
            </w:r>
            <w:r>
              <w:rPr>
                <w:rFonts w:ascii="仿宋" w:hAnsi="仿宋" w:eastAsia="仿宋" w:cs="仿宋"/>
                <w:kern w:val="0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该部分</w:t>
            </w:r>
            <w:r>
              <w:rPr>
                <w:rFonts w:hint="eastAsia" w:ascii="仿宋" w:hAnsi="仿宋" w:eastAsia="仿宋" w:cs="仿宋"/>
                <w:kern w:val="0"/>
              </w:rPr>
              <w:t>包括但不限于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响应时间、故障处理办法</w:t>
            </w:r>
            <w:r>
              <w:rPr>
                <w:rFonts w:hint="eastAsia" w:ascii="仿宋" w:hAnsi="仿宋" w:eastAsia="仿宋" w:cs="仿宋"/>
                <w:kern w:val="0"/>
              </w:rPr>
              <w:t>等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。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运维服务方案</w:t>
            </w:r>
            <w:r>
              <w:rPr>
                <w:rFonts w:ascii="仿宋" w:hAnsi="仿宋" w:eastAsia="仿宋" w:cs="仿宋"/>
                <w:kern w:val="0"/>
              </w:rPr>
              <w:t>科学合理，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能够完全保障系统安全稳定运行</w:t>
            </w:r>
            <w:r>
              <w:rPr>
                <w:rFonts w:ascii="仿宋" w:hAnsi="仿宋" w:eastAsia="仿宋" w:cs="仿宋"/>
                <w:kern w:val="0"/>
              </w:rPr>
              <w:t>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kern w:val="0"/>
              </w:rPr>
              <w:t xml:space="preserve">分；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运维服务方案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较</w:t>
            </w:r>
            <w:r>
              <w:rPr>
                <w:rFonts w:ascii="仿宋" w:hAnsi="仿宋" w:eastAsia="仿宋" w:cs="仿宋"/>
                <w:kern w:val="0"/>
              </w:rPr>
              <w:t>完整，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能够基本保障系统安全稳定运行</w:t>
            </w:r>
            <w:r>
              <w:rPr>
                <w:rFonts w:ascii="仿宋" w:hAnsi="仿宋" w:eastAsia="仿宋" w:cs="仿宋"/>
                <w:kern w:val="0"/>
              </w:rPr>
              <w:t>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kern w:val="0"/>
              </w:rPr>
              <w:t xml:space="preserve">分；  </w:t>
            </w:r>
          </w:p>
          <w:p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运维服务方案</w:t>
            </w:r>
            <w:r>
              <w:rPr>
                <w:rFonts w:ascii="仿宋" w:hAnsi="仿宋" w:eastAsia="仿宋" w:cs="仿宋"/>
                <w:kern w:val="0"/>
              </w:rPr>
              <w:t>不完整，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无法完全保障系统安全稳定运行</w:t>
            </w:r>
            <w:r>
              <w:rPr>
                <w:rFonts w:ascii="仿宋" w:hAnsi="仿宋" w:eastAsia="仿宋" w:cs="仿宋"/>
                <w:kern w:val="0"/>
              </w:rPr>
              <w:t>的，得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kern w:val="0"/>
              </w:rPr>
              <w:t>分；</w:t>
            </w:r>
          </w:p>
          <w:p>
            <w:pPr>
              <w:tabs>
                <w:tab w:val="left" w:pos="972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ascii="仿宋" w:hAnsi="仿宋" w:eastAsia="仿宋" w:cs="仿宋"/>
                <w:kern w:val="0"/>
              </w:rPr>
              <w:t>无相关内容的不得分。</w:t>
            </w:r>
          </w:p>
        </w:tc>
      </w:tr>
    </w:tbl>
    <w:p>
      <w:pPr>
        <w:ind w:firstLine="0" w:firstLineChars="0"/>
        <w:rPr>
          <w:rFonts w:ascii="仿宋" w:hAnsi="仿宋" w:eastAsia="仿宋" w:cs="仿宋"/>
        </w:rPr>
      </w:pPr>
    </w:p>
    <w:p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2"/>
          <w:rFonts w:ascii="仿宋" w:hAnsi="仿宋" w:eastAsia="仿宋" w:cs="仿宋"/>
          <w:sz w:val="30"/>
          <w:szCs w:val="30"/>
        </w:rPr>
      </w:pPr>
      <w:bookmarkStart w:id="19" w:name="_Toc19991"/>
      <w:bookmarkStart w:id="20" w:name="_Toc83237337"/>
      <w:bookmarkStart w:id="21" w:name="_Toc12535"/>
      <w:bookmarkStart w:id="22" w:name="_Toc6295"/>
      <w:bookmarkStart w:id="23" w:name="_Toc11225"/>
      <w:bookmarkStart w:id="24" w:name="_Toc8009"/>
      <w:bookmarkStart w:id="25" w:name="_Toc12039"/>
      <w:bookmarkStart w:id="26" w:name="_Toc9990"/>
      <w:bookmarkStart w:id="27" w:name="_Toc26961"/>
      <w:bookmarkStart w:id="28" w:name="_Toc18227"/>
      <w:bookmarkStart w:id="29" w:name="_Toc21325"/>
      <w:bookmarkStart w:id="30" w:name="_Toc70015596"/>
      <w:bookmarkStart w:id="31" w:name="_Toc6949"/>
      <w:bookmarkStart w:id="32" w:name="_Toc6884"/>
      <w:bookmarkStart w:id="33" w:name="_Toc13335"/>
      <w:bookmarkStart w:id="34" w:name="_Toc18905"/>
      <w:bookmarkStart w:id="35" w:name="_Toc6762"/>
      <w:bookmarkStart w:id="36" w:name="_Toc7274"/>
      <w:bookmarkStart w:id="37" w:name="_Toc20680"/>
      <w:bookmarkStart w:id="38" w:name="_Toc24803"/>
      <w:bookmarkStart w:id="39" w:name="_Toc10477"/>
      <w:bookmarkStart w:id="40" w:name="_Toc31977"/>
      <w:bookmarkStart w:id="41" w:name="_Toc15463"/>
      <w:bookmarkStart w:id="42" w:name="_Toc14226"/>
      <w:bookmarkStart w:id="43" w:name="_Toc1466"/>
      <w:r>
        <w:rPr>
          <w:rStyle w:val="12"/>
          <w:rFonts w:hint="eastAsia" w:ascii="仿宋" w:hAnsi="仿宋" w:eastAsia="仿宋" w:cs="仿宋"/>
          <w:sz w:val="30"/>
          <w:szCs w:val="30"/>
        </w:rPr>
        <w:t>附件二：商务评分细则（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分）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tbl>
      <w:tblPr>
        <w:tblStyle w:val="10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评审内容</w:t>
            </w:r>
          </w:p>
        </w:tc>
        <w:tc>
          <w:tcPr>
            <w:tcW w:w="689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47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业绩经验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highlight w:val="none"/>
              </w:rPr>
              <w:t>分）</w:t>
            </w:r>
          </w:p>
        </w:tc>
        <w:tc>
          <w:tcPr>
            <w:tcW w:w="6895" w:type="dxa"/>
            <w:vAlign w:val="center"/>
          </w:tcPr>
          <w:p>
            <w:pPr>
              <w:tabs>
                <w:tab w:val="left" w:pos="972"/>
                <w:tab w:val="left" w:pos="3600"/>
              </w:tabs>
              <w:ind w:firstLine="0" w:firstLineChars="0"/>
              <w:rPr>
                <w:rFonts w:hint="default" w:ascii="仿宋" w:hAnsi="仿宋" w:eastAsia="仿宋" w:cs="仿宋"/>
                <w:kern w:val="0"/>
                <w:u w:val="none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供应商2022年1月1日（以合同签订时间为准、无合同项目以证明材料时间为准）以来承担过以下类型项目：①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碳普惠平台开发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；②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碳普惠平台运营推广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；③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生态环境保护类信息化平台建设。每一项业绩得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，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本项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满分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 xml:space="preserve">分。 </w:t>
            </w: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注：投标人需提供项目合同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复印件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（需提供合同首页、服务内容页、双方签字盖章页）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0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拟投入本项目的项目组实力（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highlight w:val="none"/>
              </w:rPr>
              <w:t>分）</w:t>
            </w:r>
          </w:p>
        </w:tc>
        <w:tc>
          <w:tcPr>
            <w:tcW w:w="6895" w:type="dxa"/>
            <w:vAlign w:val="top"/>
          </w:tcPr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u w:val="none"/>
              </w:rPr>
            </w:pPr>
            <w:r>
              <w:rPr>
                <w:rFonts w:ascii="仿宋" w:hAnsi="仿宋" w:eastAsia="仿宋" w:cs="仿宋"/>
                <w:kern w:val="0"/>
                <w:u w:val="none"/>
              </w:rPr>
              <w:t>供应商拟配备团队人员中，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符合以下条件的可得分：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①项目负责人具有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生态环境、能源、经济、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信息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类博士学位或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高级职称的，得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②项目团队人员（不含项目负责人）具有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生态环境、能源、经济、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信息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类硕士学位或中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级职称（或以上）的，每人得1分，本项最高得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分。</w:t>
            </w: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u w:val="none"/>
              </w:rPr>
              <w:t xml:space="preserve"> 注：①投标文件中需提供以上人员的身份证、职称证书并加盖投标人公章；②以上人员在投标截止日之前3个月以内任意一个月的代缴个税税单或参加社会保险的《投保单》或《社会保险参保人员证明》。无提供证明材料或证明材料不齐全不计分。③同一人具备多个证书的不重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资质实力（5分）</w:t>
            </w:r>
          </w:p>
        </w:tc>
        <w:tc>
          <w:tcPr>
            <w:tcW w:w="6895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u w:val="none"/>
              </w:rPr>
              <w:t>根据投标人的认证情况进行评分，最高得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分:①投标人为国家级碳排放权交易试点交易机构的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②承担过省级碳市场能力建设工作的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；③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是国家级自愿减排量交易机构的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；④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承担省级碳普惠专家委员会组建的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；⑤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是省级博士工作站的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每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一项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得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分，最高</w:t>
            </w: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分。</w:t>
            </w:r>
          </w:p>
          <w:p>
            <w:pPr>
              <w:tabs>
                <w:tab w:val="left" w:pos="972"/>
                <w:tab w:val="left" w:pos="3600"/>
              </w:tabs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u w:val="none"/>
              </w:rPr>
              <w:t>注: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投标人需</w:t>
            </w:r>
            <w:r>
              <w:rPr>
                <w:rFonts w:hint="eastAsia" w:ascii="仿宋" w:hAnsi="仿宋" w:eastAsia="仿宋" w:cs="仿宋"/>
                <w:kern w:val="0"/>
                <w:u w:val="none"/>
              </w:rPr>
              <w:t>提供有效证明文件。</w:t>
            </w:r>
          </w:p>
        </w:tc>
      </w:tr>
    </w:tbl>
    <w:p>
      <w:pPr>
        <w:pStyle w:val="9"/>
        <w:ind w:firstLine="0" w:firstLineChars="0"/>
        <w:rPr>
          <w:rFonts w:ascii="仿宋" w:hAnsi="仿宋" w:eastAsia="仿宋" w:cs="仿宋"/>
        </w:rPr>
      </w:pPr>
    </w:p>
    <w:p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2"/>
          <w:rFonts w:ascii="仿宋" w:hAnsi="仿宋" w:eastAsia="仿宋" w:cs="仿宋"/>
          <w:sz w:val="30"/>
          <w:szCs w:val="30"/>
        </w:rPr>
      </w:pPr>
      <w:bookmarkStart w:id="44" w:name="_Toc20472"/>
      <w:bookmarkStart w:id="45" w:name="_Toc7833"/>
      <w:bookmarkStart w:id="46" w:name="_Toc6515"/>
      <w:bookmarkStart w:id="47" w:name="_Toc22870"/>
      <w:bookmarkStart w:id="48" w:name="_Toc23623"/>
      <w:bookmarkStart w:id="49" w:name="_Toc83237338"/>
      <w:bookmarkStart w:id="50" w:name="_Toc13953"/>
      <w:bookmarkStart w:id="51" w:name="_Toc7019"/>
      <w:bookmarkStart w:id="52" w:name="_Toc19934"/>
      <w:bookmarkStart w:id="53" w:name="_Toc3494"/>
      <w:bookmarkStart w:id="54" w:name="_Toc4946"/>
      <w:bookmarkStart w:id="55" w:name="_Toc4194"/>
      <w:bookmarkStart w:id="56" w:name="_Toc27096"/>
      <w:bookmarkStart w:id="57" w:name="_Toc3247"/>
      <w:bookmarkStart w:id="58" w:name="_Toc5395"/>
      <w:bookmarkStart w:id="59" w:name="_Toc812"/>
      <w:bookmarkStart w:id="60" w:name="_Toc31423"/>
      <w:bookmarkStart w:id="61" w:name="_Toc9109"/>
      <w:bookmarkStart w:id="62" w:name="_Toc70015597"/>
      <w:bookmarkStart w:id="63" w:name="_Toc1367"/>
      <w:bookmarkStart w:id="64" w:name="_Toc30126"/>
      <w:bookmarkStart w:id="65" w:name="_Toc25899"/>
      <w:bookmarkStart w:id="66" w:name="_Toc30914"/>
      <w:bookmarkStart w:id="67" w:name="_Toc3595"/>
      <w:bookmarkStart w:id="68" w:name="_Toc32034"/>
      <w:r>
        <w:rPr>
          <w:rStyle w:val="12"/>
          <w:rFonts w:hint="eastAsia" w:ascii="仿宋" w:hAnsi="仿宋" w:eastAsia="仿宋" w:cs="仿宋"/>
          <w:sz w:val="30"/>
          <w:szCs w:val="30"/>
        </w:rPr>
        <w:t>附件三：经济价格评分细则（10分）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>
      <w:pPr>
        <w:pStyle w:val="13"/>
        <w:tabs>
          <w:tab w:val="left" w:pos="332"/>
        </w:tabs>
        <w:snapToGrid w:val="0"/>
        <w:ind w:firstLine="480"/>
        <w:rPr>
          <w:rStyle w:val="12"/>
          <w:rFonts w:ascii="仿宋" w:hAnsi="仿宋" w:eastAsia="仿宋" w:cs="仿宋"/>
          <w:bCs/>
          <w:szCs w:val="24"/>
        </w:rPr>
      </w:pPr>
      <w:r>
        <w:rPr>
          <w:rStyle w:val="12"/>
          <w:rFonts w:hint="eastAsia" w:ascii="仿宋" w:hAnsi="仿宋" w:eastAsia="仿宋" w:cs="仿宋"/>
          <w:bCs/>
          <w:szCs w:val="24"/>
        </w:rPr>
        <w:t>各投标人的投标报价得分按以下公式进行计算：</w:t>
      </w:r>
    </w:p>
    <w:p>
      <w:pPr>
        <w:pStyle w:val="13"/>
        <w:tabs>
          <w:tab w:val="left" w:pos="332"/>
        </w:tabs>
        <w:snapToGrid w:val="0"/>
        <w:ind w:firstLine="480"/>
        <w:rPr>
          <w:rStyle w:val="12"/>
          <w:rFonts w:hint="eastAsia" w:ascii="仿宋" w:hAnsi="仿宋" w:eastAsia="仿宋" w:cs="仿宋"/>
          <w:bCs/>
          <w:szCs w:val="24"/>
        </w:rPr>
      </w:pPr>
      <w:r>
        <w:rPr>
          <w:rStyle w:val="12"/>
          <w:rFonts w:hint="eastAsia" w:ascii="仿宋" w:hAnsi="仿宋" w:eastAsia="仿宋" w:cs="仿宋"/>
          <w:bCs/>
          <w:szCs w:val="24"/>
        </w:rPr>
        <w:t>投标报价得分=(评标基准价/评标价)×10%×100</w:t>
      </w:r>
    </w:p>
    <w:p>
      <w:pPr>
        <w:pStyle w:val="13"/>
        <w:tabs>
          <w:tab w:val="left" w:pos="332"/>
        </w:tabs>
        <w:snapToGrid w:val="0"/>
        <w:ind w:firstLine="480"/>
        <w:rPr>
          <w:rStyle w:val="12"/>
          <w:rFonts w:hint="eastAsia" w:ascii="仿宋" w:hAnsi="仿宋" w:eastAsia="仿宋" w:cs="仿宋"/>
          <w:bCs/>
          <w:szCs w:val="24"/>
        </w:rPr>
      </w:pPr>
      <w:r>
        <w:rPr>
          <w:rStyle w:val="12"/>
          <w:rFonts w:eastAsia="仿宋"/>
          <w:bCs/>
          <w:szCs w:val="24"/>
        </w:rPr>
        <w:t>上述公式中的“评标基准价”是指满足项目需求书要求且经评审后的最低评审价格，其价格分为满分。上述公式中的“投标报价”是指经评审后的投标报价。</w:t>
      </w:r>
    </w:p>
    <w:p>
      <w:pPr>
        <w:pStyle w:val="13"/>
        <w:tabs>
          <w:tab w:val="left" w:pos="332"/>
        </w:tabs>
        <w:snapToGrid w:val="0"/>
        <w:ind w:firstLine="480"/>
        <w:rPr>
          <w:rStyle w:val="12"/>
          <w:rFonts w:hint="eastAsia" w:ascii="仿宋" w:hAnsi="仿宋" w:eastAsia="仿宋" w:cs="仿宋"/>
          <w:bCs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D4A3F"/>
    <w:multiLevelType w:val="multilevel"/>
    <w:tmpl w:val="3E9D4A3F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Zjk1NjVjMWU5OTk0ZDRhOTRhMWRmZGMyY2I5MjAifQ=="/>
  </w:docVars>
  <w:rsids>
    <w:rsidRoot w:val="00783AED"/>
    <w:rsid w:val="00045F71"/>
    <w:rsid w:val="0006119C"/>
    <w:rsid w:val="00080D9D"/>
    <w:rsid w:val="000F4777"/>
    <w:rsid w:val="001010F7"/>
    <w:rsid w:val="00124D04"/>
    <w:rsid w:val="0016387E"/>
    <w:rsid w:val="001D4843"/>
    <w:rsid w:val="001E3956"/>
    <w:rsid w:val="001E7DD5"/>
    <w:rsid w:val="00207959"/>
    <w:rsid w:val="00267C62"/>
    <w:rsid w:val="002A7488"/>
    <w:rsid w:val="002C0A25"/>
    <w:rsid w:val="00305FDE"/>
    <w:rsid w:val="00347C7B"/>
    <w:rsid w:val="00352E23"/>
    <w:rsid w:val="00381D51"/>
    <w:rsid w:val="003D26D8"/>
    <w:rsid w:val="00433C2E"/>
    <w:rsid w:val="00541AE5"/>
    <w:rsid w:val="00556CF5"/>
    <w:rsid w:val="006105DC"/>
    <w:rsid w:val="006544AA"/>
    <w:rsid w:val="006A7E37"/>
    <w:rsid w:val="006B386E"/>
    <w:rsid w:val="006C5801"/>
    <w:rsid w:val="006D210D"/>
    <w:rsid w:val="007255C9"/>
    <w:rsid w:val="00751194"/>
    <w:rsid w:val="00783AED"/>
    <w:rsid w:val="00787536"/>
    <w:rsid w:val="007A293A"/>
    <w:rsid w:val="007D0BFF"/>
    <w:rsid w:val="007E1887"/>
    <w:rsid w:val="007E52DF"/>
    <w:rsid w:val="007E5745"/>
    <w:rsid w:val="007F2C01"/>
    <w:rsid w:val="007F7BF5"/>
    <w:rsid w:val="008731E7"/>
    <w:rsid w:val="008C4311"/>
    <w:rsid w:val="008F65A6"/>
    <w:rsid w:val="00936845"/>
    <w:rsid w:val="00962DED"/>
    <w:rsid w:val="00977D05"/>
    <w:rsid w:val="00993E8A"/>
    <w:rsid w:val="00A06BE9"/>
    <w:rsid w:val="00A10012"/>
    <w:rsid w:val="00A21B1B"/>
    <w:rsid w:val="00A416E2"/>
    <w:rsid w:val="00AF2A43"/>
    <w:rsid w:val="00B17BBB"/>
    <w:rsid w:val="00BD18C8"/>
    <w:rsid w:val="00BF48DE"/>
    <w:rsid w:val="00C415E9"/>
    <w:rsid w:val="00C7752B"/>
    <w:rsid w:val="00C85CE8"/>
    <w:rsid w:val="00CA117E"/>
    <w:rsid w:val="00D4055D"/>
    <w:rsid w:val="00D93F9D"/>
    <w:rsid w:val="00DA4FDA"/>
    <w:rsid w:val="00E54BE2"/>
    <w:rsid w:val="00F251E5"/>
    <w:rsid w:val="00F566E4"/>
    <w:rsid w:val="00FE19B3"/>
    <w:rsid w:val="00FE1F9B"/>
    <w:rsid w:val="01A35B5C"/>
    <w:rsid w:val="09EA0AA5"/>
    <w:rsid w:val="09FE6E56"/>
    <w:rsid w:val="0A072E0A"/>
    <w:rsid w:val="0CCF5881"/>
    <w:rsid w:val="0CDD2925"/>
    <w:rsid w:val="0EEE0C6B"/>
    <w:rsid w:val="100B407B"/>
    <w:rsid w:val="18357EDD"/>
    <w:rsid w:val="1B88120B"/>
    <w:rsid w:val="1BAE23B8"/>
    <w:rsid w:val="1BCD48DA"/>
    <w:rsid w:val="1DEA5A81"/>
    <w:rsid w:val="264E1CF2"/>
    <w:rsid w:val="265248D9"/>
    <w:rsid w:val="27F71C0E"/>
    <w:rsid w:val="2AB6675E"/>
    <w:rsid w:val="30C27E77"/>
    <w:rsid w:val="313F51D5"/>
    <w:rsid w:val="36140EF6"/>
    <w:rsid w:val="3B4B68CB"/>
    <w:rsid w:val="3BB47A2E"/>
    <w:rsid w:val="3CEF28C2"/>
    <w:rsid w:val="3D0B3416"/>
    <w:rsid w:val="3E3363C7"/>
    <w:rsid w:val="3E405364"/>
    <w:rsid w:val="3FB6697C"/>
    <w:rsid w:val="41091708"/>
    <w:rsid w:val="418C2076"/>
    <w:rsid w:val="4A2033D0"/>
    <w:rsid w:val="4A581909"/>
    <w:rsid w:val="4B247B60"/>
    <w:rsid w:val="53FC00FE"/>
    <w:rsid w:val="57072949"/>
    <w:rsid w:val="5F324C29"/>
    <w:rsid w:val="67CD648C"/>
    <w:rsid w:val="687F4E68"/>
    <w:rsid w:val="6D000D49"/>
    <w:rsid w:val="72582312"/>
    <w:rsid w:val="725B6C9D"/>
    <w:rsid w:val="72C22595"/>
    <w:rsid w:val="74C2448C"/>
    <w:rsid w:val="79CA35D6"/>
    <w:rsid w:val="7D591CA2"/>
    <w:rsid w:val="7D9C3927"/>
    <w:rsid w:val="7DB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before="260" w:after="260" w:line="415" w:lineRule="auto"/>
      <w:ind w:firstLineChars="0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 2"/>
    <w:basedOn w:val="1"/>
    <w:next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6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Body Text First Indent"/>
    <w:basedOn w:val="4"/>
    <w:unhideWhenUsed/>
    <w:qFormat/>
    <w:uiPriority w:val="99"/>
    <w:pPr>
      <w:spacing w:line="240" w:lineRule="auto"/>
      <w:ind w:firstLine="420" w:firstLineChars="100"/>
    </w:pPr>
    <w:rPr>
      <w:rFonts w:ascii="Calibri" w:hAnsi="Calibri"/>
      <w:sz w:val="21"/>
    </w:rPr>
  </w:style>
  <w:style w:type="character" w:customStyle="1" w:styleId="12">
    <w:name w:val="NormalCharacter"/>
    <w:qFormat/>
    <w:uiPriority w:val="0"/>
  </w:style>
  <w:style w:type="paragraph" w:customStyle="1" w:styleId="13">
    <w:name w:val="PlainText"/>
    <w:basedOn w:val="1"/>
    <w:qFormat/>
    <w:uiPriority w:val="0"/>
    <w:rPr>
      <w:rFonts w:ascii="宋体" w:hAnsi="Courier New"/>
      <w:szCs w:val="21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Char"/>
    <w:basedOn w:val="11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批注框文本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9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1405</Words>
  <Characters>1430</Characters>
  <Lines>7</Lines>
  <Paragraphs>2</Paragraphs>
  <TotalTime>4</TotalTime>
  <ScaleCrop>false</ScaleCrop>
  <LinksUpToDate>false</LinksUpToDate>
  <CharactersWithSpaces>1442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2024-02-05T04:36:00Z</dcterms:created>
  <dc:creator>Administrator</dc:creator>
  <cp:lastModifiedBy>陈旭磊:返回拟稿人</cp:lastModifiedBy>
  <cp:lastPrinted>2024-02-27T09:31:00Z</cp:lastPrinted>
  <dcterms:modified xsi:type="dcterms:W3CDTF">2025-11-27T08:12:18Z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0BBE601AB3A540F7BA4E7183EDB6B462</vt:lpwstr>
  </property>
  <property fmtid="{D5CDD505-2E9C-101B-9397-08002B2CF9AE}" pid="4" name="KSOTemplateDocerSaveRecord">
    <vt:lpwstr>eyJoZGlkIjoiMzVjYTU0YzZmOGIyMjA0MmE0NDFhYjdkZjU3NDU5YTYiLCJ1c2VySWQiOiI0MTMwMjc4NjgifQ==</vt:lpwstr>
  </property>
</Properties>
</file>