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contextualSpacing/>
        <w:jc w:val="center"/>
        <w:rPr>
          <w:rFonts w:ascii="黑体" w:hAnsi="黑体" w:eastAsia="黑体"/>
          <w:bCs/>
          <w:sz w:val="44"/>
          <w:szCs w:val="44"/>
        </w:rPr>
      </w:pPr>
      <w:r>
        <w:rPr>
          <w:rFonts w:hint="eastAsia" w:ascii="黑体" w:hAnsi="黑体" w:eastAsia="黑体"/>
          <w:bCs/>
          <w:sz w:val="44"/>
          <w:szCs w:val="44"/>
        </w:rPr>
        <w:t>服务机器人专区、智慧医疗专区</w:t>
      </w:r>
    </w:p>
    <w:p>
      <w:pPr>
        <w:spacing w:line="360" w:lineRule="auto"/>
        <w:contextualSpacing/>
        <w:jc w:val="center"/>
        <w:rPr>
          <w:rFonts w:ascii="黑体" w:hAnsi="黑体" w:eastAsia="黑体"/>
          <w:bCs/>
          <w:sz w:val="44"/>
          <w:szCs w:val="44"/>
        </w:rPr>
      </w:pPr>
      <w:r>
        <w:rPr>
          <w:rFonts w:hint="eastAsia" w:ascii="黑体" w:hAnsi="黑体" w:eastAsia="黑体"/>
          <w:bCs/>
          <w:sz w:val="44"/>
          <w:szCs w:val="44"/>
        </w:rPr>
        <w:t>电子版企业申报材料格式要求</w:t>
      </w:r>
    </w:p>
    <w:p>
      <w:pPr>
        <w:spacing w:line="360" w:lineRule="auto"/>
        <w:contextualSpacing/>
        <w:rPr>
          <w:rFonts w:ascii="仿宋_GB2312" w:hAnsi="宋体" w:eastAsia="仿宋_GB2312"/>
          <w:sz w:val="32"/>
          <w:szCs w:val="32"/>
        </w:rPr>
      </w:pPr>
      <w:bookmarkStart w:id="0" w:name="_GoBack"/>
      <w:bookmarkEnd w:id="0"/>
    </w:p>
    <w:p>
      <w:pPr>
        <w:shd w:val="clear" w:color="auto" w:fill="FFFFFF"/>
        <w:spacing w:line="360" w:lineRule="auto"/>
        <w:ind w:firstLine="640" w:firstLineChars="200"/>
        <w:contextualSpacing/>
        <w:rPr>
          <w:rFonts w:ascii="仿宋_GB2312" w:hAnsi="Segoe UI" w:eastAsia="仿宋_GB2312" w:cs="Segoe UI"/>
          <w:sz w:val="32"/>
          <w:szCs w:val="32"/>
        </w:rPr>
      </w:pPr>
      <w:r>
        <w:rPr>
          <w:rFonts w:hint="eastAsia" w:ascii="仿宋_GB2312" w:hAnsi="Segoe UI" w:eastAsia="仿宋_GB2312" w:cs="Segoe UI"/>
          <w:sz w:val="32"/>
          <w:szCs w:val="32"/>
        </w:rPr>
        <w:t>为确保申报材料的规范统一，便于高效审核与整理，现就服务机器人专区、智慧医疗专区电子版企业申报材料的格式提出如下要求，请各申报企业严格遵照执行。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565" w:firstLineChars="176"/>
        <w:contextualSpacing/>
        <w:jc w:val="both"/>
        <w:rPr>
          <w:rFonts w:ascii="仿宋_GB2312" w:hAnsi="Segoe UI" w:eastAsia="仿宋_GB2312" w:cs="Segoe UI"/>
          <w:sz w:val="32"/>
          <w:szCs w:val="32"/>
        </w:rPr>
      </w:pPr>
      <w:r>
        <w:rPr>
          <w:rFonts w:hint="eastAsia" w:ascii="仿宋_GB2312" w:hAnsi="Segoe UI" w:eastAsia="仿宋_GB2312" w:cs="Segoe UI"/>
          <w:sz w:val="32"/>
          <w:szCs w:val="32"/>
        </w:rPr>
        <w:t>一、文件夹命名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0" w:firstLine="567"/>
        <w:contextualSpacing/>
        <w:rPr>
          <w:rFonts w:ascii="仿宋_GB2312" w:hAnsi="Segoe UI" w:eastAsia="仿宋_GB2312" w:cs="Segoe UI"/>
          <w:color w:val="222222"/>
          <w:sz w:val="32"/>
          <w:szCs w:val="32"/>
        </w:rPr>
      </w:pPr>
      <w:r>
        <w:rPr>
          <w:rStyle w:val="8"/>
          <w:rFonts w:hint="eastAsia" w:ascii="仿宋_GB2312" w:hAnsi="Segoe UI" w:eastAsia="仿宋_GB2312" w:cs="Segoe UI"/>
          <w:color w:val="222222"/>
          <w:sz w:val="32"/>
          <w:szCs w:val="32"/>
        </w:rPr>
        <w:t>顶级文件夹</w:t>
      </w:r>
      <w:r>
        <w:rPr>
          <w:rFonts w:hint="eastAsia" w:ascii="仿宋_GB2312" w:hAnsi="Segoe UI" w:eastAsia="仿宋_GB2312" w:cs="Segoe UI"/>
          <w:color w:val="222222"/>
          <w:sz w:val="32"/>
          <w:szCs w:val="32"/>
        </w:rPr>
        <w:t>：每家公司的申报材料须单独存放于一个顶级文件夹内。该文件夹命名格式为“交易团 + 申报公司名称”。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0" w:firstLine="567"/>
        <w:contextualSpacing/>
        <w:rPr>
          <w:rFonts w:ascii="仿宋_GB2312" w:hAnsi="Segoe UI" w:eastAsia="仿宋_GB2312" w:cs="Segoe UI"/>
          <w:color w:val="222222"/>
          <w:sz w:val="32"/>
          <w:szCs w:val="32"/>
        </w:rPr>
      </w:pPr>
      <w:r>
        <w:rPr>
          <w:rStyle w:val="8"/>
          <w:rFonts w:hint="eastAsia" w:ascii="仿宋_GB2312" w:hAnsi="Segoe UI" w:eastAsia="仿宋_GB2312" w:cs="Segoe UI"/>
          <w:color w:val="222222"/>
          <w:sz w:val="32"/>
          <w:szCs w:val="32"/>
        </w:rPr>
        <w:t>内部层级文件夹</w:t>
      </w:r>
      <w:r>
        <w:rPr>
          <w:rFonts w:hint="eastAsia" w:ascii="仿宋_GB2312" w:hAnsi="Segoe UI" w:eastAsia="仿宋_GB2312" w:cs="Segoe UI"/>
          <w:color w:val="222222"/>
          <w:sz w:val="32"/>
          <w:szCs w:val="32"/>
        </w:rPr>
        <w:t>：依据评审目录，对申报材料进行层级分类，设置五个大类的文件夹：1 企业基本情况、2 境内外商标、3 研发创新和自主知识产权、4 国际通行认证、5</w:t>
      </w:r>
      <w:r>
        <w:rPr>
          <w:rFonts w:ascii="仿宋_GB2312" w:hAnsi="Segoe UI" w:eastAsia="仿宋_GB2312" w:cs="Segoe UI"/>
          <w:color w:val="222222"/>
          <w:sz w:val="32"/>
          <w:szCs w:val="32"/>
        </w:rPr>
        <w:t xml:space="preserve"> </w:t>
      </w:r>
      <w:r>
        <w:rPr>
          <w:rFonts w:hint="eastAsia" w:ascii="仿宋_GB2312" w:hAnsi="Segoe UI" w:eastAsia="仿宋_GB2312" w:cs="Segoe UI"/>
          <w:color w:val="222222"/>
          <w:sz w:val="32"/>
          <w:szCs w:val="32"/>
        </w:rPr>
        <w:t>自主可控能力。</w:t>
      </w:r>
      <w:r>
        <w:rPr>
          <w:rFonts w:hint="eastAsia" w:ascii="仿宋_GB2312" w:hAnsi="Segoe UI" w:eastAsia="仿宋_GB2312" w:cs="Segoe UI"/>
          <w:sz w:val="32"/>
          <w:szCs w:val="32"/>
          <w:shd w:val="clear" w:color="auto" w:fill="FFFFFF"/>
        </w:rPr>
        <w:t>根据评审要求，将申报材料准确存放于对应的文件夹内。同时，若某一大类文件夹下材料较多，可进一步细分小类文件夹进行管理，但小类文件夹层级不宜过多，以方便查找和整理。</w:t>
      </w:r>
    </w:p>
    <w:p>
      <w:pPr>
        <w:widowControl/>
        <w:shd w:val="clear" w:color="auto" w:fill="FFFFFF"/>
        <w:spacing w:line="360" w:lineRule="auto"/>
        <w:ind w:left="567"/>
        <w:contextualSpacing/>
        <w:rPr>
          <w:rFonts w:ascii="仿宋_GB2312" w:hAnsi="Segoe UI" w:eastAsia="仿宋_GB2312" w:cs="Segoe UI"/>
          <w:color w:val="222222"/>
          <w:sz w:val="32"/>
          <w:szCs w:val="32"/>
        </w:rPr>
      </w:pPr>
      <w:r>
        <w:rPr>
          <w:rStyle w:val="8"/>
          <w:rFonts w:hint="eastAsia" w:ascii="仿宋_GB2312" w:hAnsi="Segoe UI" w:eastAsia="仿宋_GB2312" w:cs="Segoe UI"/>
          <w:color w:val="222222"/>
          <w:sz w:val="32"/>
          <w:szCs w:val="32"/>
        </w:rPr>
        <w:t>示例说明</w:t>
      </w:r>
      <w:r>
        <w:rPr>
          <w:rFonts w:hint="eastAsia" w:ascii="仿宋_GB2312" w:hAnsi="Segoe UI" w:eastAsia="仿宋_GB2312" w:cs="Segoe UI"/>
          <w:color w:val="222222"/>
          <w:sz w:val="32"/>
          <w:szCs w:val="32"/>
        </w:rPr>
        <w:t>：</w:t>
      </w:r>
    </w:p>
    <w:p>
      <w:pPr>
        <w:widowControl/>
        <w:shd w:val="clear" w:color="auto" w:fill="FFFFFF"/>
        <w:spacing w:line="360" w:lineRule="auto"/>
        <w:ind w:left="567"/>
        <w:contextualSpacing/>
        <w:rPr>
          <w:rFonts w:ascii="仿宋_GB2312" w:hAnsi="Segoe UI" w:eastAsia="仿宋_GB2312" w:cs="Segoe UI"/>
          <w:color w:val="222222"/>
          <w:sz w:val="32"/>
          <w:szCs w:val="32"/>
        </w:rPr>
      </w:pPr>
      <w:r>
        <w:drawing>
          <wp:inline distT="0" distB="0" distL="0" distR="0">
            <wp:extent cx="3095625" cy="36861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rFonts w:ascii="仿宋_GB2312" w:hAnsi="Segoe UI" w:eastAsia="仿宋_GB2312" w:cs="Segoe UI"/>
          <w:sz w:val="32"/>
          <w:szCs w:val="32"/>
        </w:rPr>
      </w:pPr>
      <w:r>
        <w:rPr>
          <w:rFonts w:hint="eastAsia" w:ascii="仿宋_GB2312" w:hAnsi="Segoe UI" w:eastAsia="仿宋_GB2312" w:cs="Segoe UI"/>
          <w:sz w:val="32"/>
          <w:szCs w:val="32"/>
        </w:rPr>
        <w:t>二、文件格式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rFonts w:ascii="仿宋_GB2312" w:hAnsi="Segoe UI" w:eastAsia="仿宋_GB2312" w:cs="Segoe UI"/>
          <w:b w:val="0"/>
          <w:color w:val="222222"/>
          <w:sz w:val="32"/>
          <w:szCs w:val="32"/>
        </w:rPr>
      </w:pPr>
      <w:r>
        <w:rPr>
          <w:rFonts w:hint="eastAsia" w:ascii="仿宋_GB2312" w:hAnsi="Segoe UI" w:eastAsia="仿宋_GB2312" w:cs="Segoe UI"/>
          <w:b w:val="0"/>
          <w:sz w:val="32"/>
          <w:szCs w:val="32"/>
        </w:rPr>
        <w:t>申报文件统一使用</w:t>
      </w:r>
      <w:r>
        <w:rPr>
          <w:rFonts w:hint="eastAsia" w:ascii="仿宋_GB2312" w:hAnsi="Segoe UI" w:eastAsia="仿宋_GB2312" w:cs="Segoe UI"/>
          <w:b w:val="0"/>
          <w:color w:val="222222"/>
          <w:sz w:val="32"/>
          <w:szCs w:val="32"/>
        </w:rPr>
        <w:t>docx、jpg、pdf格式，不要使用.wps 等小众格式或低版本 Word 的.doc 格式。</w:t>
      </w:r>
    </w:p>
    <w:p>
      <w:pPr>
        <w:pStyle w:val="12"/>
        <w:widowControl/>
        <w:numPr>
          <w:ilvl w:val="0"/>
          <w:numId w:val="2"/>
        </w:numPr>
        <w:spacing w:line="360" w:lineRule="auto"/>
        <w:ind w:firstLineChars="0"/>
        <w:contextualSpacing/>
        <w:outlineLvl w:val="1"/>
        <w:rPr>
          <w:rFonts w:ascii="仿宋_GB2312" w:hAnsi="宋体" w:eastAsia="仿宋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文件命名</w:t>
      </w:r>
    </w:p>
    <w:p>
      <w:pPr>
        <w:widowControl/>
        <w:shd w:val="clear" w:color="auto" w:fill="FFFFFF"/>
        <w:spacing w:line="360" w:lineRule="auto"/>
        <w:ind w:firstLine="560" w:firstLineChars="175"/>
        <w:contextualSpacing/>
        <w:rPr>
          <w:rFonts w:ascii="仿宋_GB2312" w:hAnsi="Segoe UI" w:eastAsia="仿宋_GB2312" w:cs="Segoe UI"/>
          <w:kern w:val="0"/>
          <w:sz w:val="32"/>
          <w:szCs w:val="32"/>
        </w:rPr>
      </w:pPr>
      <w:r>
        <w:rPr>
          <w:rFonts w:hint="eastAsia" w:ascii="仿宋_GB2312" w:hAnsi="Segoe UI" w:eastAsia="仿宋_GB2312" w:cs="Segoe UI"/>
          <w:kern w:val="0"/>
          <w:sz w:val="32"/>
          <w:szCs w:val="32"/>
        </w:rPr>
        <w:t>1</w:t>
      </w:r>
      <w:r>
        <w:rPr>
          <w:rFonts w:ascii="仿宋_GB2312" w:hAnsi="Segoe UI" w:eastAsia="仿宋_GB2312" w:cs="Segoe UI"/>
          <w:kern w:val="0"/>
          <w:sz w:val="32"/>
          <w:szCs w:val="32"/>
        </w:rPr>
        <w:t>.</w:t>
      </w:r>
      <w:r>
        <w:rPr>
          <w:rFonts w:hint="eastAsia" w:ascii="仿宋_GB2312" w:hAnsi="Segoe UI" w:eastAsia="仿宋_GB2312" w:cs="Segoe UI"/>
          <w:kern w:val="0"/>
          <w:sz w:val="32"/>
          <w:szCs w:val="32"/>
        </w:rPr>
        <w:t>所有文件命名应简洁明了，准确反映文件内容。文件名中不得包含特殊字符（如 / \ : *? " &lt; &gt; | 等）和空格。</w:t>
      </w:r>
    </w:p>
    <w:p>
      <w:pPr>
        <w:widowControl/>
        <w:shd w:val="clear" w:color="auto" w:fill="FFFFFF"/>
        <w:spacing w:line="360" w:lineRule="auto"/>
        <w:ind w:firstLine="563" w:firstLineChars="176"/>
        <w:contextualSpacing/>
        <w:rPr>
          <w:rFonts w:ascii="仿宋_GB2312" w:hAnsi="Segoe UI" w:eastAsia="仿宋_GB2312" w:cs="Segoe UI"/>
          <w:color w:val="222222"/>
          <w:kern w:val="0"/>
          <w:sz w:val="32"/>
          <w:szCs w:val="32"/>
        </w:rPr>
      </w:pPr>
      <w:r>
        <w:rPr>
          <w:rFonts w:ascii="仿宋_GB2312" w:hAnsi="Segoe UI" w:eastAsia="仿宋_GB2312" w:cs="Segoe UI"/>
          <w:bCs/>
          <w:kern w:val="0"/>
          <w:sz w:val="32"/>
          <w:szCs w:val="32"/>
        </w:rPr>
        <w:t>2.</w:t>
      </w:r>
      <w:r>
        <w:rPr>
          <w:rFonts w:hint="eastAsia" w:ascii="仿宋_GB2312" w:hAnsi="Segoe UI" w:eastAsia="仿宋_GB2312" w:cs="Segoe UI"/>
          <w:color w:val="222222"/>
          <w:kern w:val="0"/>
          <w:sz w:val="32"/>
          <w:szCs w:val="32"/>
        </w:rPr>
        <w:t>如涉及多份同类型文件，应依次编号区分，如 “专利证书 01.pdf”“专利证书 02.pdf”等。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2E5ADF"/>
    <w:multiLevelType w:val="multilevel"/>
    <w:tmpl w:val="392E5AD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3E592F20"/>
    <w:multiLevelType w:val="multilevel"/>
    <w:tmpl w:val="3E592F20"/>
    <w:lvl w:ilvl="0" w:tentative="0">
      <w:start w:val="3"/>
      <w:numFmt w:val="japaneseCounting"/>
      <w:lvlText w:val="%1、"/>
      <w:lvlJc w:val="left"/>
      <w:pPr>
        <w:ind w:left="128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5" w:hanging="420"/>
      </w:pPr>
    </w:lvl>
    <w:lvl w:ilvl="2" w:tentative="0">
      <w:start w:val="1"/>
      <w:numFmt w:val="lowerRoman"/>
      <w:lvlText w:val="%3."/>
      <w:lvlJc w:val="right"/>
      <w:pPr>
        <w:ind w:left="1825" w:hanging="420"/>
      </w:pPr>
    </w:lvl>
    <w:lvl w:ilvl="3" w:tentative="0">
      <w:start w:val="1"/>
      <w:numFmt w:val="decimal"/>
      <w:lvlText w:val="%4."/>
      <w:lvlJc w:val="left"/>
      <w:pPr>
        <w:ind w:left="2245" w:hanging="420"/>
      </w:pPr>
    </w:lvl>
    <w:lvl w:ilvl="4" w:tentative="0">
      <w:start w:val="1"/>
      <w:numFmt w:val="lowerLetter"/>
      <w:lvlText w:val="%5)"/>
      <w:lvlJc w:val="left"/>
      <w:pPr>
        <w:ind w:left="2665" w:hanging="420"/>
      </w:pPr>
    </w:lvl>
    <w:lvl w:ilvl="5" w:tentative="0">
      <w:start w:val="1"/>
      <w:numFmt w:val="lowerRoman"/>
      <w:lvlText w:val="%6."/>
      <w:lvlJc w:val="right"/>
      <w:pPr>
        <w:ind w:left="3085" w:hanging="420"/>
      </w:pPr>
    </w:lvl>
    <w:lvl w:ilvl="6" w:tentative="0">
      <w:start w:val="1"/>
      <w:numFmt w:val="decimal"/>
      <w:lvlText w:val="%7."/>
      <w:lvlJc w:val="left"/>
      <w:pPr>
        <w:ind w:left="3505" w:hanging="420"/>
      </w:pPr>
    </w:lvl>
    <w:lvl w:ilvl="7" w:tentative="0">
      <w:start w:val="1"/>
      <w:numFmt w:val="lowerLetter"/>
      <w:lvlText w:val="%8)"/>
      <w:lvlJc w:val="left"/>
      <w:pPr>
        <w:ind w:left="3925" w:hanging="420"/>
      </w:pPr>
    </w:lvl>
    <w:lvl w:ilvl="8" w:tentative="0">
      <w:start w:val="1"/>
      <w:numFmt w:val="lowerRoman"/>
      <w:lvlText w:val="%9."/>
      <w:lvlJc w:val="right"/>
      <w:pPr>
        <w:ind w:left="434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D12"/>
    <w:rsid w:val="000234A1"/>
    <w:rsid w:val="00087CC5"/>
    <w:rsid w:val="00184A3E"/>
    <w:rsid w:val="00321D12"/>
    <w:rsid w:val="00481953"/>
    <w:rsid w:val="004E42DB"/>
    <w:rsid w:val="00522088"/>
    <w:rsid w:val="00570490"/>
    <w:rsid w:val="0057392D"/>
    <w:rsid w:val="005E3667"/>
    <w:rsid w:val="00761887"/>
    <w:rsid w:val="0076697B"/>
    <w:rsid w:val="0089631D"/>
    <w:rsid w:val="008F6020"/>
    <w:rsid w:val="00975CF7"/>
    <w:rsid w:val="009C3677"/>
    <w:rsid w:val="00A9374F"/>
    <w:rsid w:val="00C700BF"/>
    <w:rsid w:val="00EB0B48"/>
    <w:rsid w:val="00EB0D54"/>
    <w:rsid w:val="00F40929"/>
    <w:rsid w:val="00F94477"/>
    <w:rsid w:val="07D37ADC"/>
    <w:rsid w:val="5F00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标题 2 字符"/>
    <w:basedOn w:val="7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254</Words>
  <Characters>270</Characters>
  <Lines>15</Lines>
  <Paragraphs>12</Paragraphs>
  <TotalTime>2</TotalTime>
  <ScaleCrop>false</ScaleCrop>
  <LinksUpToDate>false</LinksUpToDate>
  <CharactersWithSpaces>512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2025-12-15T05:54:00Z</dcterms:created>
  <dc:creator>普静</dc:creator>
  <cp:lastModifiedBy>zwcaib</cp:lastModifiedBy>
  <dcterms:modified xsi:type="dcterms:W3CDTF">2025-12-18T08:03:58Z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eyJoZGlkIjoiMWIxMTFlMzY1Y2QxZGRhODNmZjk5NjRjNGQ3MTI3YmUiLCJ1c2VySWQiOiIxNjQ0OTI5Mjg4In0=</vt:lpwstr>
  </property>
  <property fmtid="{D5CDD505-2E9C-101B-9397-08002B2CF9AE}" pid="3" name="KSOProductBuildVer">
    <vt:lpwstr>2052-11.8.2.11978</vt:lpwstr>
  </property>
  <property fmtid="{D5CDD505-2E9C-101B-9397-08002B2CF9AE}" pid="4" name="ICV">
    <vt:lpwstr>3567F8A7181D4D10A90C1848ED32A62F</vt:lpwstr>
  </property>
</Properties>
</file>