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left="3855" w:hanging="4337" w:hangingChars="1200"/>
        <w:jc w:val="center"/>
        <w:rPr>
          <w:rFonts w:hint="eastAsia" w:ascii="仿宋_GB2312" w:hAnsi="仿宋_GB2312" w:eastAsia="仿宋_GB2312" w:cs="仿宋_GB2312"/>
          <w:b/>
          <w:bCs/>
          <w:sz w:val="36"/>
          <w:szCs w:val="36"/>
        </w:rPr>
      </w:pPr>
      <w:bookmarkStart w:id="1" w:name="_GoBack"/>
      <w:bookmarkEnd w:id="1"/>
      <w:bookmarkStart w:id="0" w:name="OLE_LINK1"/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评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分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细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eastAsia="zh-CN"/>
        </w:rPr>
        <w:t>则</w:t>
      </w:r>
    </w:p>
    <w:tbl>
      <w:tblPr>
        <w:tblStyle w:val="2"/>
        <w:tblW w:w="10862" w:type="dxa"/>
        <w:tblInd w:w="-912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105"/>
        <w:gridCol w:w="8884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评审因素</w:t>
            </w:r>
          </w:p>
        </w:tc>
        <w:tc>
          <w:tcPr>
            <w:tcW w:w="99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评审标准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分值构成</w:t>
            </w:r>
          </w:p>
        </w:tc>
        <w:tc>
          <w:tcPr>
            <w:tcW w:w="9989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技术部分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0分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商务部分30分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报价得分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0分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技术部分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0分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实施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方案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分）</w:t>
            </w:r>
          </w:p>
        </w:tc>
        <w:tc>
          <w:tcPr>
            <w:tcW w:w="8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优（20分）：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方案深度契合项目背景及核心目标，对18000亩服务区域（含住宅区、公园、学校等）生境特点及有害生物易发生规律分析精准透彻。63个固定监测点布局科学合理，能全覆盖重点区域。针对31种检疫性有害生物及地中海实蝇、红火蚁、薇甘菊等核心防控对象，制定差异化、可操作性强的监测与防控策略，技术路线先进（如明确采用生物防治、物理防治优先原则），防控方案操作性及落地性强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良（15分）：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准确把握项目核心要求，监测点布局符合基本规范，能覆盖主要服务区域；防治方案贴合常规，可覆盖绝大多数有害生物，但部分防控细节不足，技术创新性较弱。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中（10分）：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方案仅为框架性内容，未完全体现对重点有害生物的特殊防控措施，对服务区域特点分析不足，可操作性一般。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差（5分）：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方案内容空洞，或未对核心要求做出实质性响应，与项目实际需求严重不符。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重难点分析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0分）</w:t>
            </w:r>
          </w:p>
        </w:tc>
        <w:tc>
          <w:tcPr>
            <w:tcW w:w="8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优（20分）：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精准识别并深入分析合作区其季节发生规律、危害程度及防控瓶颈；提出的季度常规鉴定、半年全域普查方案流程闭环。样本采集、送检、PCR鉴定等流程清晰。突发疫情应急处置预案有详细、可靠的预案。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良（15分）：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基本掌握合作区常见病虫害种类及危害特点，普查鉴定方案框架基本完整，能应对常规监测需求，但对复杂情况或突发事件的预判不足，突发事件的处置措施深度一般。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中（10分）：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重难点分析流于表面，未结合合作区地域特性，普查鉴定方案较为简单，缺乏细节，可操作性有待商榷。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差（5分）：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未体现对合作区特定病虫害的针对性认知，方案无地域适配性，无法支撑监测工作开展。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工作计划与质量保证 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（20分）</w:t>
            </w:r>
          </w:p>
        </w:tc>
        <w:tc>
          <w:tcPr>
            <w:tcW w:w="8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优（20分）：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计划详尽，时间节点明确、流程清晰。建立完善的月度、季度、年度三级报告体系及病虫害预测预报机制。质量保证措施具体有效，配备专业的消杀设备清单和充足的应急物资储备方案，防治效果评估方法科学可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良（15分）：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具备完整的工作计划和报告体系，关键节点控制清晰，质量管控措施常规但可行。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中（10分）：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工作计划不全面，关键环节缺失或描述模糊，质量管控措施不清晰。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差（5分）：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无实质性工作计划或质量保证措施，内容与项目需求严重偏离。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商务部分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30分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类似项目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业绩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0分)</w:t>
            </w:r>
          </w:p>
        </w:tc>
        <w:tc>
          <w:tcPr>
            <w:tcW w:w="8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自2020年1月1日以来（以合同签订时间为准）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承担过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市政园林、林业或农业领域的植物有害生物监测、普查、防治或技术服务合同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：每提供1份有效业绩合同得2.5分，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本项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最高得10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最多计取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份合同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业绩内容以合同主要条款或附件明确载明的服务内容为准；2.合同复印件须清晰呈现签订时间、服务内容、双方盖章等关键信息，否则不予计分。3、服务内容、服务区域基本雷同的业绩不重复计分；4.提供的合同需为已履行或正在履行的有效合同，未生效合同不计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项目团队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配置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分)</w:t>
            </w:r>
          </w:p>
        </w:tc>
        <w:tc>
          <w:tcPr>
            <w:tcW w:w="8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高级职称人员（8分）：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拟派团队成员中，具有植物保护、植物学、农学、森林保护等相关专业高级及以上技术职称，每有1人得4分。本项最高8分。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中级职称人员（12分）：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拟派团队成员中，具有上述相关专业中级技术职称，每有1人得2分。本项最高12分。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投标人须提供拟派人员职称证书复印件。 同一人员按最高职称等级计分，不重复累计；职称专业须与项目服务内容直接相关，无关专业职称不计分。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投标报价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</w:rPr>
              <w:t>0分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投标报价得分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0分)</w:t>
            </w:r>
          </w:p>
        </w:tc>
        <w:tc>
          <w:tcPr>
            <w:tcW w:w="88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 xml:space="preserve">各投标人的投标报价得分按以下公示进行计算：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投标报价得分＝（评标基准价/评标价）×10%×100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4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评标基准价为满足招标文件要求最低的评标价，其价格分为满分。若投标报价高于招标文件招标控制价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（9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highlight w:val="none"/>
                <w:lang w:eastAsia="zh-CN"/>
              </w:rPr>
              <w:t>0000.00元），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则其投标文件按无效投标文件处理。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4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如“总分”相同，报价价格低的投标单位中标。</w:t>
      </w:r>
    </w:p>
    <w:p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2、本细则的解释权归采购人所有，采购人保留对明显错误进行修正的权利。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12B5115"/>
    <w:multiLevelType w:val="singleLevel"/>
    <w:tmpl w:val="B12B5115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1">
    <w:nsid w:val="CACC1239"/>
    <w:multiLevelType w:val="singleLevel"/>
    <w:tmpl w:val="CACC1239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2">
    <w:nsid w:val="F3F7A1BB"/>
    <w:multiLevelType w:val="singleLevel"/>
    <w:tmpl w:val="F3F7A1BB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abstractNum w:abstractNumId="3">
    <w:nsid w:val="73F80B96"/>
    <w:multiLevelType w:val="singleLevel"/>
    <w:tmpl w:val="73F80B96"/>
    <w:lvl w:ilvl="0" w:tentative="0">
      <w:start w:val="1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017A0"/>
    <w:rsid w:val="2BC36EEC"/>
    <w:rsid w:val="524D618D"/>
    <w:rsid w:val="74F017A0"/>
    <w:rsid w:val="7F76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2025-12-18T06:41:00Z</dcterms:created>
  <dc:creator>user</dc:creator>
  <cp:lastModifiedBy>user</cp:lastModifiedBy>
  <dcterms:modified xsi:type="dcterms:W3CDTF">2025-12-19T06:39:32Z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FCCBAF34803C40268D109544D851FFEE</vt:lpwstr>
  </property>
</Properties>
</file>