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w:t>附件1</w:t>
      </w:r>
    </w:p>
    <w:tbl>
      <w:tblPr>
        <w:tblStyle w:val="5"/>
        <w:tblW w:w="10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914"/>
        <w:gridCol w:w="879"/>
        <w:gridCol w:w="7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286" w:type="dxa"/>
            <w:gridSpan w:val="4"/>
            <w:vAlign w:val="center"/>
          </w:tcPr>
          <w:p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28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-42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一、商务指标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评分细则（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0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序号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评审内容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分项分值</w:t>
            </w:r>
          </w:p>
        </w:tc>
        <w:tc>
          <w:tcPr>
            <w:tcW w:w="7985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评分细则及分值范围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50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</w:rPr>
              <w:t>1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lang w:val="en-US" w:eastAsia="zh-CN"/>
              </w:rPr>
              <w:t>认证体系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</w:rPr>
              <w:t>分</w:t>
            </w:r>
          </w:p>
        </w:tc>
        <w:tc>
          <w:tcPr>
            <w:tcW w:w="7985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投标供应商具有有效的质量管理体系认证证书、职业健康安全管理体系认证证书，每提供一项得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 xml:space="preserve">分，最高得6分。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（注：提供相关认证证书及国家认证认可监督管理委员会官方网www.cnca.gov.cn查询“有效”的查询截图加盖公章，无提供不得分。）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  <w:jc w:val="center"/>
        </w:trPr>
        <w:tc>
          <w:tcPr>
            <w:tcW w:w="50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lang w:val="en-US" w:eastAsia="zh-CN"/>
              </w:rPr>
              <w:t>项目团队配置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lang w:val="en-US" w:eastAsia="zh-CN"/>
              </w:rPr>
              <w:t>14分</w:t>
            </w:r>
          </w:p>
        </w:tc>
        <w:tc>
          <w:tcPr>
            <w:tcW w:w="798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1、项目负责人（5分）：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拟派负责人具备工程/园林类副高级或以上职称，得5分；具备工程/园林类中级职称，得3分。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2、技术负责人（4分）：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拟派技术负责人具备园林类副高级或以上职称，得4分；具备园林类中级职称，得2分。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3、拟派团队（5分）：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（1）具有植物学或农学相关专业工程师职称的人员，得3分；（2）具有园林类职称的人员，得2分。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  <w:t>注：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以上人员须为不同人员，并提供相应证书及投标人为其缴纳的近3个月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社保证明。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50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</w:rPr>
              <w:t>同类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</w:rPr>
              <w:t>业绩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</w:rPr>
              <w:t>分</w:t>
            </w:r>
          </w:p>
        </w:tc>
        <w:tc>
          <w:tcPr>
            <w:tcW w:w="7985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  <w:t>自2022年1月1日以来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1、承担过园林花展、主题景观造景、园艺博览会参展项目及景观提升类的业绩：每提供1份符合要求的有效合同，得3分。本项最高得6分。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2、获得政府或行政主管部门颁发的花展布置相关荣誉奖项：每提供一项得2分。本项最高得4分。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  <w:t>注：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、须提供合同关键页（含签约时间、内容、金额及双方签章）复印件并加盖公章作为评分依据。2、获奖证明扫描件及颁发部门的网上查询截图及查询路径。获奖证明以奖项证书注明时间为准，若证书涉及人员姓名等相关信息，无需提供获奖人员社保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28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二、技术指标评分细则（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50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  <w:t>主题概念与设计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  <w:t>创意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分</w:t>
            </w:r>
          </w:p>
        </w:tc>
        <w:tc>
          <w:tcPr>
            <w:tcW w:w="7985" w:type="dxa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优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分)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设计概念卓越，完美诠释“琴澳融合”内涵。以鸢尾花的运用为核心，艺术化、创造性地展现横琴的地理、生态与文化特色。整体构思新颖，空间氛围富有强烈记忆点与艺术感染力，互动体验设计巧妙。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良（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分)：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概念清晰，较好体现主题与地域特色。鸢尾花元素运用合理，有一定的创意和氛围营造能力，考虑了游客体验。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一般（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分）：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概念普通，基本体现主题。元素运用和空间营造较为常规，创意性不足。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4、差（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分）：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概念模糊或偏离主题，缺乏设计感和文化表达。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50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方案完整度与可持续性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分</w:t>
            </w:r>
          </w:p>
        </w:tc>
        <w:tc>
          <w:tcPr>
            <w:tcW w:w="7985" w:type="dxa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优（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分）：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提供完整的设计方案（含平面图、立面图、效果图、物料清单等），图纸规范、表达清晰，空间布局与游览路径设计合理。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良（15分）：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方案较完整，图纸齐全。深度细节不足。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一般（10分）：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方案内容有缺失，图纸不齐全。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差（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分）：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方案不完整，缺乏图纸。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50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施工组织与安全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保障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15分</w:t>
            </w:r>
          </w:p>
        </w:tc>
        <w:tc>
          <w:tcPr>
            <w:tcW w:w="7985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1、优（15分）：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施工组织方案详尽、周密、针对布展期制定了精确到日的进度计划、人力设备调配计划和应急预案。安全保障措施全面、各类工种持证上岗。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2、良（10分）：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施工组织方案合理，有基本的进度、质量和安全控制措施。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" w:hAnsi="仿宋" w:eastAsia="仿宋" w:cs="仿宋"/>
                <w:b/>
                <w:bCs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3一般（5分）：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方案较为简单，对关键环节（如结构安全、进度冲刺）考虑不周。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4、差（0分）：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缺乏可操作的施工组织方案或存在重大安全漏洞。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28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三、经济标评分细则（10分）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0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9778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4"/>
                <w:szCs w:val="24"/>
                <w:lang w:bidi="ar"/>
              </w:rPr>
              <w:t>各投标人的投标报价得分按以下公式进行计算：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4"/>
                <w:szCs w:val="24"/>
                <w:lang w:bidi="ar"/>
              </w:rPr>
              <w:t>投标报价得分= (评标基准价/评标价)×10%×100</w:t>
            </w:r>
          </w:p>
          <w:p>
            <w:pPr>
              <w:pStyle w:val="4"/>
              <w:keepNext w:val="0"/>
              <w:keepLines/>
              <w:widowControl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 w:firstLine="0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评标基准价为满足招标文件要求最低的评标价，其价格分为满分。若投标报价高于招标文件招标控制价（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820000.00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元），则其投标文件按无效投标文件处理。</w:t>
            </w:r>
          </w:p>
        </w:tc>
      </w:tr>
    </w:tbl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24"/>
          <w:szCs w:val="24"/>
          <w:lang w:val="en-US" w:eastAsia="zh-CN" w:bidi="ar"/>
        </w:rPr>
        <w:t>注：如“总分”相同，报价价格低的投标单位中标。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2E838"/>
    <w:multiLevelType w:val="singleLevel"/>
    <w:tmpl w:val="A092E838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1">
    <w:nsid w:val="0EBAEBC0"/>
    <w:multiLevelType w:val="singleLevel"/>
    <w:tmpl w:val="0EBAEBC0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attachedTemplate r:id="rId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24CCB"/>
    <w:rsid w:val="05F12E9B"/>
    <w:rsid w:val="0C312E14"/>
    <w:rsid w:val="26C24CCB"/>
    <w:rsid w:val="2770165C"/>
    <w:rsid w:val="2A543D91"/>
    <w:rsid w:val="2B6F5AD4"/>
    <w:rsid w:val="4DC54232"/>
    <w:rsid w:val="53EB338B"/>
    <w:rsid w:val="57C03ADC"/>
    <w:rsid w:val="6EF733FD"/>
    <w:rsid w:val="71F8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宋体" w:eastAsia="宋体"/>
      <w:color w:val="000000"/>
      <w:spacing w:val="0"/>
      <w:sz w:val="21"/>
      <w:szCs w:val="20"/>
    </w:rPr>
  </w:style>
  <w:style w:type="paragraph" w:styleId="3">
    <w:name w:val="Body Text"/>
    <w:basedOn w:val="1"/>
    <w:next w:val="1"/>
    <w:qFormat/>
    <w:uiPriority w:val="0"/>
    <w:pPr>
      <w:spacing w:after="120" w:line="480" w:lineRule="auto"/>
      <w:ind w:firstLine="560" w:firstLineChars="200"/>
    </w:pPr>
    <w:rPr>
      <w:rFonts w:ascii="仿宋_GB2312" w:hAnsi="仿宋_GB2312" w:eastAsia="宋体" w:cs="Times New Roman"/>
      <w:spacing w:val="20"/>
      <w:sz w:val="24"/>
      <w:szCs w:val="24"/>
    </w:rPr>
  </w:style>
  <w:style w:type="paragraph" w:styleId="4">
    <w:name w:val="Body Text Indent 2"/>
    <w:basedOn w:val="1"/>
    <w:qFormat/>
    <w:uiPriority w:val="0"/>
    <w:pPr>
      <w:spacing w:line="480" w:lineRule="exact"/>
      <w:ind w:left="810" w:firstLine="675"/>
    </w:pPr>
    <w:rPr>
      <w:rFonts w:ascii="Times New Roman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横琴新区</Company>
  <Pages>2</Pages>
  <Words>1310</Words>
  <Characters>1356</Characters>
  <Lines>0</Lines>
  <Paragraphs>0</Paragraphs>
  <TotalTime>26</TotalTime>
  <ScaleCrop>false</ScaleCrop>
  <LinksUpToDate>false</LinksUpToDate>
  <CharactersWithSpaces>1358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2025-12-18T07:47:00Z</dcterms:created>
  <dc:creator>user</dc:creator>
  <cp:lastModifiedBy>user</cp:lastModifiedBy>
  <dcterms:modified xsi:type="dcterms:W3CDTF">2025-12-22T02:03:37Z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A8DF5D537FCA4154BA10B93862E3E766</vt:lpwstr>
  </property>
  <property fmtid="{D5CDD505-2E9C-101B-9397-08002B2CF9AE}" pid="4" name="KSOTemplateDocerSaveRecord">
    <vt:lpwstr>eyJoZGlkIjoiMzVjYTU0YzZmOGIyMjA0MmE0NDFhYjdkZjU3NDU5YTYiLCJ1c2VySWQiOiI0MTMwMjc4NjgifQ==</vt:lpwstr>
  </property>
</Properties>
</file>