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A07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2"/>
          <w:sz w:val="28"/>
          <w:szCs w:val="28"/>
          <w:highlight w:val="none"/>
          <w:u w:val="none"/>
          <w:lang w:val="en-US" w:eastAsia="zh-CN" w:bidi="ar-SA"/>
        </w:rPr>
        <w:t>附件1</w:t>
      </w:r>
    </w:p>
    <w:tbl>
      <w:tblPr>
        <w:tblStyle w:val="4"/>
        <w:tblW w:w="10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914"/>
        <w:gridCol w:w="879"/>
        <w:gridCol w:w="7985"/>
      </w:tblGrid>
      <w:tr w14:paraId="57673DE4">
        <w:trPr>
          <w:trHeight w:val="90" w:hRule="atLeast"/>
          <w:jc w:val="center"/>
        </w:trPr>
        <w:tc>
          <w:tcPr>
            <w:tcW w:w="10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78CA2">
            <w:pPr>
              <w:pStyle w:val="3"/>
              <w:keepNext w:val="0"/>
              <w:keepLines w:val="0"/>
              <w:widowControl w:val="0"/>
              <w:suppressLineNumbers w:val="0"/>
              <w:spacing w:before="0" w:beforeAutospacing="1" w:after="120" w:afterAutospacing="0" w:line="480" w:lineRule="auto"/>
              <w:ind w:left="0" w:right="0" w:firstLine="321" w:firstLineChars="10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pacing w:val="0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kern w:val="2"/>
                <w:sz w:val="32"/>
                <w:szCs w:val="32"/>
                <w:lang w:val="en-US" w:eastAsia="zh-CN" w:bidi="ar"/>
              </w:rPr>
              <w:t>评分细则</w:t>
            </w:r>
          </w:p>
        </w:tc>
      </w:tr>
      <w:tr w14:paraId="2F3DD8CE">
        <w:trPr>
          <w:trHeight w:val="529" w:hRule="atLeast"/>
          <w:jc w:val="center"/>
        </w:trPr>
        <w:tc>
          <w:tcPr>
            <w:tcW w:w="10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270D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-42"/>
              <w:jc w:val="left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一、商务指标评分细则（30分）</w:t>
            </w:r>
          </w:p>
        </w:tc>
      </w:tr>
      <w:tr w14:paraId="53848355">
        <w:trPr>
          <w:trHeight w:val="674" w:hRule="atLeast"/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3C138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CB56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评审内容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1844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分项分值</w:t>
            </w:r>
          </w:p>
        </w:tc>
        <w:tc>
          <w:tcPr>
            <w:tcW w:w="7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C962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评分细则及分值范围</w:t>
            </w:r>
          </w:p>
        </w:tc>
      </w:tr>
      <w:tr w14:paraId="43CD3372">
        <w:trPr>
          <w:trHeight w:val="1484" w:hRule="atLeast"/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C785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FB13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认证体系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FD71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6分</w:t>
            </w:r>
          </w:p>
        </w:tc>
        <w:tc>
          <w:tcPr>
            <w:tcW w:w="7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247B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投标供应商具有有效的质量管理体系认证证书、职业健康安全管理体系认证证书，每提供一项得3分，最高得6分。 </w:t>
            </w:r>
          </w:p>
          <w:p w14:paraId="7F26CF8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（注：提供相关认证证书及国家认证认可监督管理委员会官方网www.cnca.gov.cn查询“有效”的查询截图加盖公章，无提供不得分。）</w:t>
            </w:r>
          </w:p>
        </w:tc>
      </w:tr>
      <w:tr w14:paraId="7F4D904B">
        <w:trPr>
          <w:trHeight w:val="2786" w:hRule="atLeast"/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44C8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B2BB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项目团队配置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1838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14分</w:t>
            </w:r>
          </w:p>
        </w:tc>
        <w:tc>
          <w:tcPr>
            <w:tcW w:w="7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83E5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1、项目负责人（5分）：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拟派负责人具备工程/园林类副高级或以上职称，得5分；具备工程/园林类中级职称，得3分。</w:t>
            </w:r>
          </w:p>
          <w:p w14:paraId="2CB792A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2、技术负责人（4分）：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拟派技术负责人具备园林类副高级或以上职称，得4分；具备园林类中级职称，得2分。</w:t>
            </w:r>
          </w:p>
          <w:p w14:paraId="25C5F050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3、拟派团队（5分）：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（1）具有植物学或农学相关专业工程师职称的人员，得3分；（2）具有园林类职称的人员，得2分。</w:t>
            </w:r>
          </w:p>
          <w:p w14:paraId="5334FBB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注：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"/>
              </w:rPr>
              <w:t>以上人员须为不同人员，并提供相应证书及投标人为其缴纳的近3个月社保证明。</w:t>
            </w:r>
          </w:p>
        </w:tc>
      </w:tr>
      <w:tr w14:paraId="15917EFB">
        <w:trPr>
          <w:trHeight w:val="1675" w:hRule="atLeast"/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B6AA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F598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同类项目业绩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11B3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 w:val="0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10分</w:t>
            </w:r>
          </w:p>
        </w:tc>
        <w:tc>
          <w:tcPr>
            <w:tcW w:w="7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F892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自2022年1月1日以来</w:t>
            </w:r>
          </w:p>
          <w:p w14:paraId="5548A572"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承担过园林花展、主题景观造景、园艺博览会参展项目及景观提升类的业绩：每提供1份符合要求的有效合同，得3分。本项最高得6分。</w:t>
            </w:r>
          </w:p>
          <w:p w14:paraId="069E2BA8">
            <w:pPr>
              <w:keepNext w:val="0"/>
              <w:keepLines w:val="0"/>
              <w:numPr>
                <w:ilvl w:val="-1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eastAsia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 w:bidi="ar"/>
              </w:rPr>
              <w:t>2、获得政府或行政主管部门颁发的花展布置相关荣誉奖项：每提供一项得2分。本项最高得4分。</w:t>
            </w:r>
          </w:p>
          <w:p w14:paraId="3B713BB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注：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1、须提供合同关键页（含签约时间、内容及双方签章）复印件并加盖公章作为评分依据。2、获奖证明扫描件及颁发部门的网上查询截图及查询路径。获奖证明以奖项证书注明时间为准，若证书涉及人员姓名等相关信息，无需提供获奖人员社保证明。</w:t>
            </w:r>
          </w:p>
        </w:tc>
      </w:tr>
      <w:tr w14:paraId="6263C485">
        <w:trPr>
          <w:trHeight w:val="505" w:hRule="atLeast"/>
          <w:jc w:val="center"/>
        </w:trPr>
        <w:tc>
          <w:tcPr>
            <w:tcW w:w="10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6AB9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二、技术指标评分细则（60分）</w:t>
            </w:r>
          </w:p>
        </w:tc>
      </w:tr>
      <w:tr w14:paraId="044FB19C">
        <w:trPr>
          <w:trHeight w:val="1837" w:hRule="atLeast"/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5BE6E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87A7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主题概念与设计</w:t>
            </w:r>
          </w:p>
          <w:p w14:paraId="568F9FC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创意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AA0F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25分</w:t>
            </w:r>
          </w:p>
        </w:tc>
        <w:tc>
          <w:tcPr>
            <w:tcW w:w="7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BBB9B94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优（25分)：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设计概念卓越，完美诠释“琴澳融合”内涵。以紫罗兰的运用为核心，艺术化、创造性地展现横琴的地理、生态与文化特色。整体构思新颖，空间氛围富有强烈记忆点与艺术感染力，互动体验设计巧妙。</w:t>
            </w:r>
          </w:p>
          <w:p w14:paraId="1C77F427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良（20分)：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概念清晰，较好体现主题与地域特色。紫罗兰元素运用合理，有一定的创意和氛围营造能力，考虑了游客体验。</w:t>
            </w:r>
          </w:p>
          <w:p w14:paraId="0A027C7B"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一般（15分）：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概念普通，基本体现主题。元素运用和空间营造较为常规，创意性不足。</w:t>
            </w:r>
          </w:p>
          <w:p w14:paraId="12DA95E2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4、差（10分）：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"/>
              </w:rPr>
              <w:t>概念模糊或偏离主题，缺乏设计感和文化表达。</w:t>
            </w:r>
          </w:p>
        </w:tc>
      </w:tr>
      <w:tr w14:paraId="1C1300E1">
        <w:trPr>
          <w:trHeight w:val="1232" w:hRule="atLeast"/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2E435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2ECE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方案完整度与可持续性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D2337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20分</w:t>
            </w:r>
          </w:p>
        </w:tc>
        <w:tc>
          <w:tcPr>
            <w:tcW w:w="7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2E8D22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优（20分）：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提供完整的设计方案（含平面图、立面图、效果图、物料清单等），图纸规范、表达清晰，空间布局与游览路径设计合理。</w:t>
            </w:r>
          </w:p>
          <w:p w14:paraId="2BF720C2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良（15分）：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方案较完整，图纸齐全。深度细节不足。</w:t>
            </w:r>
          </w:p>
          <w:p w14:paraId="537A45E6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一般（10分）：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方案内容有缺失，图纸不齐全。</w:t>
            </w:r>
          </w:p>
          <w:p w14:paraId="77257DD9"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差（5分）：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"/>
              </w:rPr>
              <w:t>方案不完整，缺乏图纸。</w:t>
            </w:r>
          </w:p>
        </w:tc>
      </w:tr>
      <w:tr w14:paraId="5158780A">
        <w:trPr>
          <w:trHeight w:val="2100" w:hRule="atLeast"/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F67BC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BBB0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施工组织与安全</w:t>
            </w:r>
          </w:p>
          <w:p w14:paraId="6C4FA356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保障</w:t>
            </w:r>
          </w:p>
        </w:tc>
        <w:tc>
          <w:tcPr>
            <w:tcW w:w="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38A4A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15分</w:t>
            </w:r>
          </w:p>
        </w:tc>
        <w:tc>
          <w:tcPr>
            <w:tcW w:w="7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B61D8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t>1、优（15分）：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t>施工组织方案详尽、周密、针对布展期制定了精确到日的进度计划、人力设备调配计划和应急预案。安全保障措施全面、各类工种持证上岗。</w:t>
            </w:r>
          </w:p>
          <w:p w14:paraId="671AC26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t>2、良（10分）：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t>施工组织方案合理，有基本的进度、质量和安全控制措施。</w:t>
            </w:r>
          </w:p>
          <w:p w14:paraId="0629FA51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仿宋" w:hAnsi="仿宋" w:eastAsia="仿宋" w:cs="仿宋"/>
                <w:b/>
                <w:bCs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t>3一般（5分）：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t>方案较为简单，对关键环节（如结构安全、进度冲刺）考虑不周。</w:t>
            </w:r>
          </w:p>
          <w:p w14:paraId="0BBD710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t>4、差（0分）：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0"/>
                <w:kern w:val="2"/>
                <w:sz w:val="24"/>
                <w:szCs w:val="24"/>
                <w:lang w:val="en-US" w:eastAsia="zh-CN" w:bidi="ar"/>
              </w:rPr>
              <w:t>缺乏可操作的施工组织方案或存在重大安全漏洞。</w:t>
            </w:r>
          </w:p>
        </w:tc>
      </w:tr>
      <w:tr w14:paraId="3FAC3586">
        <w:trPr>
          <w:trHeight w:val="539" w:hRule="atLeast"/>
          <w:jc w:val="center"/>
        </w:trPr>
        <w:tc>
          <w:tcPr>
            <w:tcW w:w="10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60D7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三、经济标评分细则（10分）</w:t>
            </w:r>
          </w:p>
        </w:tc>
      </w:tr>
      <w:tr w14:paraId="6C853E96">
        <w:trPr>
          <w:trHeight w:val="358" w:hRule="atLeast"/>
          <w:jc w:val="center"/>
        </w:trPr>
        <w:tc>
          <w:tcPr>
            <w:tcW w:w="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1BF54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97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E4DFB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各投标人的投标报价得分按以下公式进行计算：</w:t>
            </w:r>
          </w:p>
          <w:p w14:paraId="3424CE09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Cs w:val="0"/>
                <w:color w:val="auto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投标报价得分= (评标基准价/评标价)×10%×100</w:t>
            </w:r>
          </w:p>
          <w:p w14:paraId="1B858503"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bCs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 w:val="0"/>
                <w:color w:val="auto"/>
                <w:kern w:val="2"/>
                <w:sz w:val="24"/>
                <w:szCs w:val="24"/>
                <w:lang w:val="en-US" w:eastAsia="zh-CN" w:bidi="ar"/>
              </w:rPr>
              <w:t>评标基准价为满足招标文件要求最低的评标价，其价格分为满分。若投标报价高于招标文件招标控制价（980,000.00元），则其投标文件按无效投标文件处理。</w:t>
            </w:r>
          </w:p>
        </w:tc>
      </w:tr>
    </w:tbl>
    <w:p w14:paraId="77F73AA3">
      <w:pPr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000000"/>
          <w:spacing w:val="0"/>
          <w:kern w:val="2"/>
          <w:sz w:val="24"/>
          <w:szCs w:val="24"/>
          <w:lang w:val="en-US" w:eastAsia="zh-CN" w:bidi="ar"/>
        </w:rPr>
        <w:t>注：如“总分”相同，报价价格低的投标单位中标</w:t>
      </w:r>
      <w:r>
        <w:rPr>
          <w:rFonts w:hint="eastAsia" w:ascii="仿宋" w:hAnsi="仿宋" w:eastAsia="仿宋" w:cs="仿宋"/>
          <w:spacing w:val="0"/>
          <w:kern w:val="2"/>
          <w:sz w:val="24"/>
          <w:szCs w:val="24"/>
          <w:lang w:val="en-US" w:eastAsia="zh-CN" w:bidi="ar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AD1792"/>
    <w:multiLevelType w:val="multilevel"/>
    <w:tmpl w:val="8DAD1792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仿宋" w:hAnsi="仿宋" w:eastAsia="仿宋" w:cs="仿宋"/>
        <w:b/>
        <w:bCs/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1D62738C"/>
    <w:multiLevelType w:val="multilevel"/>
    <w:tmpl w:val="1D62738C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仿宋" w:hAnsi="仿宋" w:eastAsia="仿宋" w:cs="仿宋"/>
        <w:b/>
        <w:bCs/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2">
    <w:nsid w:val="4211D5C1"/>
    <w:multiLevelType w:val="singleLevel"/>
    <w:tmpl w:val="4211D5C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NotDisplayPageBoundaries w:val="1"/>
  <w:embedSystemFonts/>
  <w:bordersDoNotSurroundHeader w:val="1"/>
  <w:bordersDoNotSurroundFooter w:val="1"/>
  <w:attachedTemplate r:id="rId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C7B91"/>
    <w:rsid w:val="2D180350"/>
    <w:rsid w:val="2DC732E4"/>
    <w:rsid w:val="2EE56E12"/>
    <w:rsid w:val="53A45F7E"/>
    <w:rsid w:val="572C7B91"/>
    <w:rsid w:val="61AB2805"/>
    <w:rsid w:val="FFF8F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12" w:after="312"/>
      <w:ind w:left="850" w:hanging="453"/>
      <w:outlineLvl w:val="0"/>
    </w:pPr>
    <w:rPr>
      <w:rFonts w:ascii="宋体" w:hAnsi="宋体"/>
      <w:bCs/>
      <w:kern w:val="44"/>
      <w:sz w:val="36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xiaomuying/Library/Containers/com.kingsoft.wpsoffice.mac/Data/C:\dreamsoft\DSOA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横琴新区</Company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2025-12-18T17:13:00Z</dcterms:created>
  <dc:creator>user</dc:creator>
  <cp:lastModifiedBy>RaphaelL</cp:lastModifiedBy>
  <dcterms:modified xsi:type="dcterms:W3CDTF">2025-12-23T14:17:04Z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C93265AEC6DC4FB0A31F748586A4A0C6</vt:lpwstr>
  </property>
</Properties>
</file>