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79" w:lineRule="exact"/>
        <w:rPr>
          <w:rFonts w:ascii="Times New Roman" w:hAnsi="Times New Roman" w:eastAsia="仿宋_GB2312" w:cs="Times New Roman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7"/>
          <w:sz w:val="32"/>
          <w:szCs w:val="32"/>
          <w:lang w:eastAsia="zh-CN"/>
        </w:rPr>
        <w:t>附件：</w:t>
      </w:r>
    </w:p>
    <w:p>
      <w:pPr>
        <w:spacing w:line="579" w:lineRule="exact"/>
        <w:ind w:left="19" w:leftChars="9" w:firstLine="754" w:firstLineChars="164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10"/>
          <w:sz w:val="44"/>
          <w:szCs w:val="44"/>
          <w:lang w:eastAsia="zh-CN"/>
        </w:rPr>
      </w:pPr>
    </w:p>
    <w:p>
      <w:pPr>
        <w:spacing w:line="579" w:lineRule="exact"/>
        <w:ind w:left="19" w:leftChars="9" w:firstLine="754" w:firstLineChars="164"/>
        <w:jc w:val="center"/>
        <w:rPr>
          <w:rFonts w:ascii="Times New Roman" w:hAnsi="Times New Roman" w:eastAsia="方正小标宋简体" w:cs="Times New Roman"/>
          <w:color w:val="auto"/>
          <w:spacing w:val="6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10"/>
          <w:sz w:val="44"/>
          <w:szCs w:val="44"/>
          <w:lang w:eastAsia="zh-CN"/>
        </w:rPr>
        <w:t>横琴粤澳深度合作区会展产业发展扶持办法专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9"/>
          <w:sz w:val="44"/>
          <w:szCs w:val="44"/>
          <w:lang w:eastAsia="zh-CN"/>
        </w:rPr>
        <w:t>项资金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6"/>
          <w:sz w:val="44"/>
          <w:szCs w:val="44"/>
          <w:lang w:eastAsia="zh-CN"/>
        </w:rPr>
        <w:t>品牌展览认定标准</w:t>
      </w:r>
    </w:p>
    <w:p>
      <w:pPr>
        <w:spacing w:line="579" w:lineRule="exact"/>
        <w:jc w:val="center"/>
        <w:rPr>
          <w:rFonts w:ascii="Times New Roman" w:hAnsi="Times New Roman" w:eastAsia="仿宋_GB2312" w:cs="Times New Roman"/>
          <w:color w:val="auto"/>
          <w:sz w:val="32"/>
          <w:szCs w:val="32"/>
          <w:lang w:eastAsia="zh-CN"/>
        </w:rPr>
      </w:pPr>
    </w:p>
    <w:p>
      <w:pPr>
        <w:spacing w:line="579" w:lineRule="exact"/>
        <w:jc w:val="both"/>
        <w:rPr>
          <w:rFonts w:ascii="Times New Roman" w:hAnsi="Times New Roman" w:eastAsia="仿宋_GB2312" w:cs="Times New Roman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仿宋_GB2312" w:cs="Times New Roman"/>
          <w:color w:val="auto"/>
          <w:spacing w:val="-2"/>
          <w:sz w:val="32"/>
          <w:szCs w:val="32"/>
          <w:lang w:eastAsia="zh-CN"/>
        </w:rPr>
        <w:t>注：品牌展览总体得分须在65分以上）</w:t>
      </w:r>
    </w:p>
    <w:tbl>
      <w:tblPr>
        <w:tblStyle w:val="23"/>
        <w:tblW w:w="8724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44"/>
        <w:gridCol w:w="598"/>
        <w:gridCol w:w="1755"/>
        <w:gridCol w:w="567"/>
        <w:gridCol w:w="4760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9" w:hRule="atLeast"/>
          <w:jc w:val="center"/>
        </w:trPr>
        <w:tc>
          <w:tcPr>
            <w:tcW w:w="1044" w:type="dxa"/>
            <w:vAlign w:val="center"/>
          </w:tcPr>
          <w:p>
            <w:pPr>
              <w:spacing w:line="579" w:lineRule="exact"/>
              <w:jc w:val="center"/>
              <w:rPr>
                <w:rFonts w:ascii="Times New Roman" w:hAnsi="Times New Roman" w:eastAsia="仿宋_GB2312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</w:rPr>
              <w:t>一级指标</w:t>
            </w:r>
          </w:p>
        </w:tc>
        <w:tc>
          <w:tcPr>
            <w:tcW w:w="598" w:type="dxa"/>
            <w:vAlign w:val="center"/>
          </w:tcPr>
          <w:p>
            <w:pPr>
              <w:spacing w:line="579" w:lineRule="exact"/>
              <w:jc w:val="center"/>
              <w:rPr>
                <w:rFonts w:ascii="Times New Roman" w:hAnsi="Times New Roman" w:eastAsia="仿宋_GB2312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</w:rPr>
              <w:t>最高</w:t>
            </w:r>
          </w:p>
          <w:p>
            <w:pPr>
              <w:spacing w:line="579" w:lineRule="exact"/>
              <w:jc w:val="center"/>
              <w:rPr>
                <w:rFonts w:ascii="Times New Roman" w:hAnsi="Times New Roman" w:eastAsia="仿宋_GB2312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</w:rPr>
              <w:t>分值</w:t>
            </w:r>
          </w:p>
        </w:tc>
        <w:tc>
          <w:tcPr>
            <w:tcW w:w="1755" w:type="dxa"/>
            <w:vAlign w:val="center"/>
          </w:tcPr>
          <w:p>
            <w:pPr>
              <w:spacing w:line="579" w:lineRule="exact"/>
              <w:jc w:val="center"/>
              <w:rPr>
                <w:rFonts w:ascii="Times New Roman" w:hAnsi="Times New Roman" w:eastAsia="仿宋_GB2312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</w:rPr>
              <w:t>二级指标</w:t>
            </w:r>
          </w:p>
        </w:tc>
        <w:tc>
          <w:tcPr>
            <w:tcW w:w="567" w:type="dxa"/>
            <w:vAlign w:val="center"/>
          </w:tcPr>
          <w:p>
            <w:pPr>
              <w:spacing w:line="579" w:lineRule="exact"/>
              <w:jc w:val="center"/>
              <w:rPr>
                <w:rFonts w:ascii="Times New Roman" w:hAnsi="Times New Roman" w:eastAsia="仿宋_GB2312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</w:rPr>
              <w:t>最高</w:t>
            </w:r>
          </w:p>
          <w:p>
            <w:pPr>
              <w:spacing w:line="579" w:lineRule="exact"/>
              <w:jc w:val="center"/>
              <w:rPr>
                <w:rFonts w:ascii="Times New Roman" w:hAnsi="Times New Roman" w:eastAsia="仿宋_GB2312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</w:rPr>
              <w:t>分值</w:t>
            </w:r>
          </w:p>
        </w:tc>
        <w:tc>
          <w:tcPr>
            <w:tcW w:w="4760" w:type="dxa"/>
            <w:vAlign w:val="center"/>
          </w:tcPr>
          <w:p>
            <w:pPr>
              <w:spacing w:line="579" w:lineRule="exact"/>
              <w:jc w:val="center"/>
              <w:rPr>
                <w:rFonts w:ascii="Times New Roman" w:hAnsi="Times New Roman" w:eastAsia="仿宋_GB2312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</w:rPr>
              <w:t>条件及分值计算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3" w:hRule="atLeast"/>
          <w:jc w:val="center"/>
        </w:trPr>
        <w:tc>
          <w:tcPr>
            <w:tcW w:w="1044" w:type="dxa"/>
            <w:vMerge w:val="restart"/>
            <w:tcBorders>
              <w:bottom w:val="nil"/>
            </w:tcBorders>
            <w:vAlign w:val="center"/>
          </w:tcPr>
          <w:p>
            <w:pPr>
              <w:spacing w:line="579" w:lineRule="exact"/>
              <w:jc w:val="center"/>
              <w:rPr>
                <w:rFonts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  <w:t>展览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</w:rPr>
              <w:t>规模</w:t>
            </w:r>
          </w:p>
        </w:tc>
        <w:tc>
          <w:tcPr>
            <w:tcW w:w="598" w:type="dxa"/>
            <w:vMerge w:val="restart"/>
            <w:tcBorders>
              <w:bottom w:val="nil"/>
            </w:tcBorders>
            <w:vAlign w:val="center"/>
          </w:tcPr>
          <w:p>
            <w:pPr>
              <w:spacing w:line="579" w:lineRule="exact"/>
              <w:jc w:val="center"/>
              <w:rPr>
                <w:rFonts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</w:rPr>
              <w:t>42</w:t>
            </w:r>
          </w:p>
        </w:tc>
        <w:tc>
          <w:tcPr>
            <w:tcW w:w="1755" w:type="dxa"/>
            <w:vAlign w:val="center"/>
          </w:tcPr>
          <w:p>
            <w:pPr>
              <w:spacing w:line="579" w:lineRule="exact"/>
              <w:jc w:val="center"/>
              <w:rPr>
                <w:rFonts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</w:rPr>
              <w:t>展览总面积</w:t>
            </w:r>
          </w:p>
        </w:tc>
        <w:tc>
          <w:tcPr>
            <w:tcW w:w="567" w:type="dxa"/>
            <w:vAlign w:val="center"/>
          </w:tcPr>
          <w:p>
            <w:pPr>
              <w:spacing w:line="579" w:lineRule="exact"/>
              <w:jc w:val="center"/>
              <w:rPr>
                <w:rFonts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</w:rPr>
              <w:t>10</w:t>
            </w:r>
          </w:p>
        </w:tc>
        <w:tc>
          <w:tcPr>
            <w:tcW w:w="4760" w:type="dxa"/>
            <w:vAlign w:val="center"/>
          </w:tcPr>
          <w:p>
            <w:pPr>
              <w:spacing w:line="579" w:lineRule="exact"/>
              <w:jc w:val="both"/>
              <w:rPr>
                <w:rFonts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  <w:t>展览总面积≥10,000平方米,10,000平方米得5分，每增加1,000平方米得1分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044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spacing w:line="579" w:lineRule="exact"/>
              <w:jc w:val="center"/>
              <w:rPr>
                <w:rFonts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598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spacing w:line="579" w:lineRule="exact"/>
              <w:jc w:val="center"/>
              <w:rPr>
                <w:rFonts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755" w:type="dxa"/>
            <w:vAlign w:val="center"/>
          </w:tcPr>
          <w:p>
            <w:pPr>
              <w:spacing w:line="579" w:lineRule="exact"/>
              <w:jc w:val="center"/>
              <w:rPr>
                <w:rFonts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  <w:t>过往成功举办</w:t>
            </w:r>
          </w:p>
          <w:p>
            <w:pPr>
              <w:spacing w:line="579" w:lineRule="exact"/>
              <w:jc w:val="center"/>
              <w:rPr>
                <w:rFonts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  <w:t>的展览届数</w:t>
            </w:r>
          </w:p>
        </w:tc>
        <w:tc>
          <w:tcPr>
            <w:tcW w:w="567" w:type="dxa"/>
            <w:vAlign w:val="center"/>
          </w:tcPr>
          <w:p>
            <w:pPr>
              <w:spacing w:line="579" w:lineRule="exact"/>
              <w:jc w:val="center"/>
              <w:rPr>
                <w:rFonts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4760" w:type="dxa"/>
            <w:vAlign w:val="center"/>
          </w:tcPr>
          <w:p>
            <w:pPr>
              <w:spacing w:line="579" w:lineRule="exact"/>
              <w:jc w:val="both"/>
              <w:rPr>
                <w:rFonts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  <w:t>往届展览数≥3届，3届得1分，每增加1届得1分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  <w:jc w:val="center"/>
        </w:trPr>
        <w:tc>
          <w:tcPr>
            <w:tcW w:w="1044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spacing w:line="579" w:lineRule="exact"/>
              <w:jc w:val="center"/>
              <w:rPr>
                <w:rFonts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598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spacing w:line="579" w:lineRule="exact"/>
              <w:jc w:val="center"/>
              <w:rPr>
                <w:rFonts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755" w:type="dxa"/>
            <w:vAlign w:val="center"/>
          </w:tcPr>
          <w:p>
            <w:pPr>
              <w:spacing w:line="579" w:lineRule="exact"/>
              <w:jc w:val="center"/>
              <w:rPr>
                <w:rFonts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</w:rPr>
              <w:t>标准展台数</w:t>
            </w:r>
          </w:p>
        </w:tc>
        <w:tc>
          <w:tcPr>
            <w:tcW w:w="567" w:type="dxa"/>
            <w:vAlign w:val="center"/>
          </w:tcPr>
          <w:p>
            <w:pPr>
              <w:spacing w:line="579" w:lineRule="exact"/>
              <w:jc w:val="center"/>
              <w:rPr>
                <w:rFonts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</w:rPr>
              <w:t>10</w:t>
            </w:r>
          </w:p>
        </w:tc>
        <w:tc>
          <w:tcPr>
            <w:tcW w:w="4760" w:type="dxa"/>
            <w:vAlign w:val="center"/>
          </w:tcPr>
          <w:p>
            <w:pPr>
              <w:spacing w:line="579" w:lineRule="exact"/>
              <w:jc w:val="both"/>
              <w:rPr>
                <w:rFonts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  <w:t>标准展台数≥400个，400个标准展台得5分，每增加100个标准展台得1分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5" w:hRule="atLeast"/>
          <w:jc w:val="center"/>
        </w:trPr>
        <w:tc>
          <w:tcPr>
            <w:tcW w:w="1044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spacing w:line="579" w:lineRule="exact"/>
              <w:jc w:val="center"/>
              <w:rPr>
                <w:rFonts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598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spacing w:line="579" w:lineRule="exact"/>
              <w:jc w:val="center"/>
              <w:rPr>
                <w:rFonts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755" w:type="dxa"/>
            <w:vAlign w:val="center"/>
          </w:tcPr>
          <w:p>
            <w:pPr>
              <w:spacing w:line="579" w:lineRule="exact"/>
              <w:jc w:val="center"/>
              <w:rPr>
                <w:rFonts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</w:rPr>
              <w:t>参展商数量</w:t>
            </w:r>
          </w:p>
        </w:tc>
        <w:tc>
          <w:tcPr>
            <w:tcW w:w="567" w:type="dxa"/>
            <w:vAlign w:val="center"/>
          </w:tcPr>
          <w:p>
            <w:pPr>
              <w:spacing w:line="579" w:lineRule="exact"/>
              <w:jc w:val="center"/>
              <w:rPr>
                <w:rFonts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</w:rPr>
              <w:t>10</w:t>
            </w:r>
          </w:p>
        </w:tc>
        <w:tc>
          <w:tcPr>
            <w:tcW w:w="4760" w:type="dxa"/>
            <w:vAlign w:val="center"/>
          </w:tcPr>
          <w:p>
            <w:pPr>
              <w:spacing w:line="579" w:lineRule="exact"/>
              <w:jc w:val="both"/>
              <w:rPr>
                <w:rFonts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  <w:t>参展商数量≥30家，30家参展商得5分，每增加10家得1分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1044" w:type="dxa"/>
            <w:vMerge w:val="continue"/>
            <w:tcBorders>
              <w:top w:val="nil"/>
            </w:tcBorders>
            <w:vAlign w:val="center"/>
          </w:tcPr>
          <w:p>
            <w:pPr>
              <w:spacing w:line="579" w:lineRule="exact"/>
              <w:jc w:val="center"/>
              <w:rPr>
                <w:rFonts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598" w:type="dxa"/>
            <w:vMerge w:val="continue"/>
            <w:tcBorders>
              <w:top w:val="nil"/>
            </w:tcBorders>
            <w:vAlign w:val="center"/>
          </w:tcPr>
          <w:p>
            <w:pPr>
              <w:spacing w:line="579" w:lineRule="exact"/>
              <w:jc w:val="center"/>
              <w:rPr>
                <w:rFonts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755" w:type="dxa"/>
            <w:vAlign w:val="center"/>
          </w:tcPr>
          <w:p>
            <w:pPr>
              <w:spacing w:line="579" w:lineRule="exact"/>
              <w:jc w:val="center"/>
              <w:rPr>
                <w:rFonts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</w:rPr>
              <w:t>观众数量</w:t>
            </w:r>
          </w:p>
        </w:tc>
        <w:tc>
          <w:tcPr>
            <w:tcW w:w="567" w:type="dxa"/>
            <w:vAlign w:val="center"/>
          </w:tcPr>
          <w:p>
            <w:pPr>
              <w:spacing w:line="579" w:lineRule="exact"/>
              <w:jc w:val="center"/>
              <w:rPr>
                <w:rFonts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</w:rPr>
              <w:t>10</w:t>
            </w:r>
          </w:p>
        </w:tc>
        <w:tc>
          <w:tcPr>
            <w:tcW w:w="4760" w:type="dxa"/>
            <w:vAlign w:val="center"/>
          </w:tcPr>
          <w:p>
            <w:pPr>
              <w:spacing w:line="579" w:lineRule="exact"/>
              <w:jc w:val="both"/>
              <w:rPr>
                <w:rFonts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  <w:t>观众数量≥2,000人次，2,000人次得5分，每增加1,000人次得1分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" w:hRule="atLeast"/>
          <w:jc w:val="center"/>
        </w:trPr>
        <w:tc>
          <w:tcPr>
            <w:tcW w:w="1044" w:type="dxa"/>
            <w:vMerge w:val="restart"/>
            <w:vAlign w:val="center"/>
          </w:tcPr>
          <w:p>
            <w:pPr>
              <w:spacing w:line="579" w:lineRule="exact"/>
              <w:jc w:val="center"/>
              <w:rPr>
                <w:rFonts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</w:rPr>
              <w:t>办展质量</w:t>
            </w:r>
          </w:p>
        </w:tc>
        <w:tc>
          <w:tcPr>
            <w:tcW w:w="598" w:type="dxa"/>
            <w:vMerge w:val="restart"/>
            <w:vAlign w:val="center"/>
          </w:tcPr>
          <w:p>
            <w:pPr>
              <w:spacing w:line="579" w:lineRule="exact"/>
              <w:jc w:val="center"/>
              <w:rPr>
                <w:rFonts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</w:rPr>
              <w:t>28</w:t>
            </w:r>
          </w:p>
        </w:tc>
        <w:tc>
          <w:tcPr>
            <w:tcW w:w="1755" w:type="dxa"/>
            <w:vAlign w:val="center"/>
          </w:tcPr>
          <w:p>
            <w:pPr>
              <w:spacing w:line="579" w:lineRule="exact"/>
              <w:jc w:val="center"/>
              <w:rPr>
                <w:rFonts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</w:rPr>
              <w:t>展览特装数量</w:t>
            </w:r>
          </w:p>
          <w:p>
            <w:pPr>
              <w:spacing w:line="579" w:lineRule="exact"/>
              <w:jc w:val="center"/>
              <w:rPr>
                <w:rFonts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</w:rPr>
              <w:t>比例</w:t>
            </w:r>
          </w:p>
        </w:tc>
        <w:tc>
          <w:tcPr>
            <w:tcW w:w="567" w:type="dxa"/>
            <w:vAlign w:val="center"/>
          </w:tcPr>
          <w:p>
            <w:pPr>
              <w:spacing w:line="579" w:lineRule="exact"/>
              <w:jc w:val="center"/>
              <w:rPr>
                <w:rFonts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</w:rPr>
              <w:t>10</w:t>
            </w:r>
          </w:p>
        </w:tc>
        <w:tc>
          <w:tcPr>
            <w:tcW w:w="4760" w:type="dxa"/>
            <w:vAlign w:val="center"/>
          </w:tcPr>
          <w:p>
            <w:pPr>
              <w:spacing w:line="579" w:lineRule="exact"/>
              <w:jc w:val="both"/>
              <w:rPr>
                <w:rFonts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  <w:t>展览特装数量比例≥5%，10%得5分，每增加3%得1分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2" w:hRule="atLeast"/>
          <w:jc w:val="center"/>
        </w:trPr>
        <w:tc>
          <w:tcPr>
            <w:tcW w:w="1044" w:type="dxa"/>
            <w:vMerge w:val="continue"/>
            <w:vAlign w:val="center"/>
          </w:tcPr>
          <w:p>
            <w:pPr>
              <w:spacing w:line="579" w:lineRule="exact"/>
              <w:jc w:val="center"/>
              <w:rPr>
                <w:rFonts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598" w:type="dxa"/>
            <w:vMerge w:val="continue"/>
            <w:vAlign w:val="center"/>
          </w:tcPr>
          <w:p>
            <w:pPr>
              <w:spacing w:line="579" w:lineRule="exact"/>
              <w:jc w:val="center"/>
              <w:rPr>
                <w:rFonts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755" w:type="dxa"/>
            <w:vAlign w:val="center"/>
          </w:tcPr>
          <w:p>
            <w:pPr>
              <w:spacing w:line="579" w:lineRule="exact"/>
              <w:jc w:val="center"/>
              <w:rPr>
                <w:rFonts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</w:rPr>
              <w:t>境外参展商比例</w:t>
            </w:r>
          </w:p>
        </w:tc>
        <w:tc>
          <w:tcPr>
            <w:tcW w:w="567" w:type="dxa"/>
            <w:vAlign w:val="center"/>
          </w:tcPr>
          <w:p>
            <w:pPr>
              <w:spacing w:line="579" w:lineRule="exact"/>
              <w:jc w:val="center"/>
              <w:rPr>
                <w:rFonts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4760" w:type="dxa"/>
            <w:vAlign w:val="center"/>
          </w:tcPr>
          <w:p>
            <w:pPr>
              <w:spacing w:line="579" w:lineRule="exact"/>
              <w:jc w:val="both"/>
              <w:rPr>
                <w:rFonts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  <w:t>境外（不含澳门）参展商比例≥5%，10%得2分，每增加3%得1分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  <w:jc w:val="center"/>
        </w:trPr>
        <w:tc>
          <w:tcPr>
            <w:tcW w:w="1044" w:type="dxa"/>
            <w:vMerge w:val="continue"/>
            <w:vAlign w:val="center"/>
          </w:tcPr>
          <w:p>
            <w:pPr>
              <w:spacing w:line="579" w:lineRule="exact"/>
              <w:jc w:val="center"/>
              <w:rPr>
                <w:rFonts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598" w:type="dxa"/>
            <w:vMerge w:val="continue"/>
            <w:vAlign w:val="center"/>
          </w:tcPr>
          <w:p>
            <w:pPr>
              <w:spacing w:line="579" w:lineRule="exact"/>
              <w:jc w:val="center"/>
              <w:rPr>
                <w:rFonts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755" w:type="dxa"/>
            <w:vAlign w:val="center"/>
          </w:tcPr>
          <w:p>
            <w:pPr>
              <w:spacing w:line="579" w:lineRule="exact"/>
              <w:jc w:val="center"/>
              <w:rPr>
                <w:rFonts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  <w:t>境内外上市</w:t>
            </w:r>
          </w:p>
          <w:p>
            <w:pPr>
              <w:spacing w:line="579" w:lineRule="exact"/>
              <w:jc w:val="center"/>
              <w:rPr>
                <w:rFonts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  <w:t>企业参展数量</w:t>
            </w:r>
          </w:p>
        </w:tc>
        <w:tc>
          <w:tcPr>
            <w:tcW w:w="567" w:type="dxa"/>
            <w:vAlign w:val="center"/>
          </w:tcPr>
          <w:p>
            <w:pPr>
              <w:spacing w:line="579" w:lineRule="exact"/>
              <w:jc w:val="center"/>
              <w:rPr>
                <w:rFonts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4760" w:type="dxa"/>
            <w:vAlign w:val="center"/>
          </w:tcPr>
          <w:p>
            <w:pPr>
              <w:spacing w:line="579" w:lineRule="exact"/>
              <w:jc w:val="both"/>
              <w:rPr>
                <w:rFonts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  <w:t>1家境内外上市企业参展得1分，每增加1家得1分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 w:hRule="atLeast"/>
          <w:jc w:val="center"/>
        </w:trPr>
        <w:tc>
          <w:tcPr>
            <w:tcW w:w="1044" w:type="dxa"/>
            <w:vMerge w:val="continue"/>
            <w:vAlign w:val="center"/>
          </w:tcPr>
          <w:p>
            <w:pPr>
              <w:spacing w:line="579" w:lineRule="exact"/>
              <w:jc w:val="center"/>
              <w:rPr>
                <w:rFonts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598" w:type="dxa"/>
            <w:vMerge w:val="continue"/>
            <w:vAlign w:val="center"/>
          </w:tcPr>
          <w:p>
            <w:pPr>
              <w:spacing w:line="579" w:lineRule="exact"/>
              <w:jc w:val="center"/>
              <w:rPr>
                <w:rFonts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755" w:type="dxa"/>
            <w:vAlign w:val="center"/>
          </w:tcPr>
          <w:p>
            <w:pPr>
              <w:spacing w:line="579" w:lineRule="exact"/>
              <w:jc w:val="center"/>
              <w:rPr>
                <w:rFonts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</w:rPr>
              <w:t>参展商回头率</w:t>
            </w:r>
          </w:p>
        </w:tc>
        <w:tc>
          <w:tcPr>
            <w:tcW w:w="567" w:type="dxa"/>
            <w:vAlign w:val="center"/>
          </w:tcPr>
          <w:p>
            <w:pPr>
              <w:spacing w:line="579" w:lineRule="exact"/>
              <w:jc w:val="center"/>
              <w:rPr>
                <w:rFonts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4760" w:type="dxa"/>
            <w:vAlign w:val="center"/>
          </w:tcPr>
          <w:p>
            <w:pPr>
              <w:spacing w:line="579" w:lineRule="exact"/>
              <w:jc w:val="both"/>
              <w:rPr>
                <w:rFonts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  <w:t>上一届展览的参展商数量占申报年度展览参展商数量的5%得1分，每增加5%得1分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6" w:hRule="atLeast"/>
          <w:jc w:val="center"/>
        </w:trPr>
        <w:tc>
          <w:tcPr>
            <w:tcW w:w="1044" w:type="dxa"/>
            <w:vMerge w:val="continue"/>
            <w:vAlign w:val="center"/>
          </w:tcPr>
          <w:p>
            <w:pPr>
              <w:spacing w:line="579" w:lineRule="exact"/>
              <w:jc w:val="center"/>
              <w:rPr>
                <w:rFonts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598" w:type="dxa"/>
            <w:vMerge w:val="continue"/>
            <w:vAlign w:val="center"/>
          </w:tcPr>
          <w:p>
            <w:pPr>
              <w:spacing w:line="579" w:lineRule="exact"/>
              <w:jc w:val="center"/>
              <w:rPr>
                <w:rFonts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755" w:type="dxa"/>
            <w:vAlign w:val="center"/>
          </w:tcPr>
          <w:p>
            <w:pPr>
              <w:spacing w:line="579" w:lineRule="exact"/>
              <w:jc w:val="center"/>
              <w:rPr>
                <w:rFonts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</w:rPr>
              <w:t>专业论坛活动</w:t>
            </w:r>
          </w:p>
          <w:p>
            <w:pPr>
              <w:spacing w:line="579" w:lineRule="exact"/>
              <w:jc w:val="center"/>
              <w:rPr>
                <w:rFonts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</w:rPr>
              <w:t>数量</w:t>
            </w:r>
          </w:p>
        </w:tc>
        <w:tc>
          <w:tcPr>
            <w:tcW w:w="567" w:type="dxa"/>
            <w:vAlign w:val="center"/>
          </w:tcPr>
          <w:p>
            <w:pPr>
              <w:spacing w:line="579" w:lineRule="exact"/>
              <w:jc w:val="center"/>
              <w:rPr>
                <w:rFonts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4760" w:type="dxa"/>
            <w:vAlign w:val="center"/>
          </w:tcPr>
          <w:p>
            <w:pPr>
              <w:spacing w:line="579" w:lineRule="exact"/>
              <w:jc w:val="both"/>
              <w:rPr>
                <w:rFonts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  <w:t>举办与展览主题一致的专业论坛或活动达1个得1分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7" w:hRule="atLeast"/>
          <w:jc w:val="center"/>
        </w:trPr>
        <w:tc>
          <w:tcPr>
            <w:tcW w:w="1044" w:type="dxa"/>
            <w:vMerge w:val="restart"/>
            <w:vAlign w:val="center"/>
          </w:tcPr>
          <w:p>
            <w:pPr>
              <w:spacing w:line="579" w:lineRule="exact"/>
              <w:jc w:val="center"/>
              <w:rPr>
                <w:rFonts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</w:rPr>
              <w:t>品牌建设</w:t>
            </w:r>
          </w:p>
        </w:tc>
        <w:tc>
          <w:tcPr>
            <w:tcW w:w="598" w:type="dxa"/>
            <w:vMerge w:val="restart"/>
            <w:vAlign w:val="center"/>
          </w:tcPr>
          <w:p>
            <w:pPr>
              <w:spacing w:line="579" w:lineRule="exact"/>
              <w:jc w:val="center"/>
              <w:rPr>
                <w:rFonts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</w:rPr>
              <w:t>18</w:t>
            </w:r>
          </w:p>
        </w:tc>
        <w:tc>
          <w:tcPr>
            <w:tcW w:w="1755" w:type="dxa"/>
            <w:vAlign w:val="center"/>
          </w:tcPr>
          <w:p>
            <w:pPr>
              <w:spacing w:line="579" w:lineRule="exact"/>
              <w:jc w:val="center"/>
              <w:rPr>
                <w:rFonts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</w:rPr>
              <w:t>宣传推广</w:t>
            </w:r>
          </w:p>
        </w:tc>
        <w:tc>
          <w:tcPr>
            <w:tcW w:w="567" w:type="dxa"/>
            <w:vAlign w:val="center"/>
          </w:tcPr>
          <w:p>
            <w:pPr>
              <w:spacing w:line="579" w:lineRule="exact"/>
              <w:jc w:val="center"/>
              <w:rPr>
                <w:rFonts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</w:rPr>
              <w:t>8</w:t>
            </w:r>
          </w:p>
        </w:tc>
        <w:tc>
          <w:tcPr>
            <w:tcW w:w="4760" w:type="dxa"/>
            <w:vAlign w:val="center"/>
          </w:tcPr>
          <w:p>
            <w:pPr>
              <w:spacing w:line="579" w:lineRule="exact"/>
              <w:jc w:val="both"/>
              <w:rPr>
                <w:rFonts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  <w:t>宣传投入成本达10万元得1分，每增加5万元得1分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3" w:hRule="atLeast"/>
          <w:jc w:val="center"/>
        </w:trPr>
        <w:tc>
          <w:tcPr>
            <w:tcW w:w="1044" w:type="dxa"/>
            <w:vMerge w:val="continue"/>
            <w:vAlign w:val="center"/>
          </w:tcPr>
          <w:p>
            <w:pPr>
              <w:spacing w:line="579" w:lineRule="exact"/>
              <w:jc w:val="center"/>
              <w:rPr>
                <w:rFonts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598" w:type="dxa"/>
            <w:vMerge w:val="continue"/>
            <w:vAlign w:val="center"/>
          </w:tcPr>
          <w:p>
            <w:pPr>
              <w:spacing w:line="579" w:lineRule="exact"/>
              <w:jc w:val="center"/>
              <w:rPr>
                <w:rFonts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755" w:type="dxa"/>
            <w:vAlign w:val="center"/>
          </w:tcPr>
          <w:p>
            <w:pPr>
              <w:spacing w:line="579" w:lineRule="exact"/>
              <w:jc w:val="center"/>
              <w:rPr>
                <w:rFonts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</w:rPr>
              <w:t>宣传媒体数量</w:t>
            </w:r>
          </w:p>
        </w:tc>
        <w:tc>
          <w:tcPr>
            <w:tcW w:w="567" w:type="dxa"/>
            <w:vAlign w:val="center"/>
          </w:tcPr>
          <w:p>
            <w:pPr>
              <w:spacing w:line="579" w:lineRule="exact"/>
              <w:jc w:val="center"/>
              <w:rPr>
                <w:rFonts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4760" w:type="dxa"/>
            <w:vAlign w:val="center"/>
          </w:tcPr>
          <w:p>
            <w:pPr>
              <w:spacing w:line="579" w:lineRule="exact"/>
              <w:jc w:val="both"/>
              <w:rPr>
                <w:rFonts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  <w:t>宣传媒体数量2个得1分，每增加1个得0.5分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5" w:hRule="atLeast"/>
          <w:jc w:val="center"/>
        </w:trPr>
        <w:tc>
          <w:tcPr>
            <w:tcW w:w="1044" w:type="dxa"/>
            <w:vMerge w:val="continue"/>
            <w:vAlign w:val="center"/>
          </w:tcPr>
          <w:p>
            <w:pPr>
              <w:spacing w:line="579" w:lineRule="exact"/>
              <w:jc w:val="center"/>
              <w:rPr>
                <w:rFonts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598" w:type="dxa"/>
            <w:vMerge w:val="continue"/>
            <w:vAlign w:val="center"/>
          </w:tcPr>
          <w:p>
            <w:pPr>
              <w:spacing w:line="579" w:lineRule="exact"/>
              <w:jc w:val="center"/>
              <w:rPr>
                <w:rFonts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755" w:type="dxa"/>
            <w:vAlign w:val="center"/>
          </w:tcPr>
          <w:p>
            <w:pPr>
              <w:spacing w:line="579" w:lineRule="exact"/>
              <w:jc w:val="center"/>
              <w:rPr>
                <w:rFonts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</w:rPr>
              <w:t>品牌信誉</w:t>
            </w:r>
          </w:p>
        </w:tc>
        <w:tc>
          <w:tcPr>
            <w:tcW w:w="567" w:type="dxa"/>
            <w:vAlign w:val="center"/>
          </w:tcPr>
          <w:p>
            <w:pPr>
              <w:spacing w:line="579" w:lineRule="exact"/>
              <w:jc w:val="center"/>
              <w:rPr>
                <w:rFonts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4760" w:type="dxa"/>
            <w:vAlign w:val="center"/>
          </w:tcPr>
          <w:p>
            <w:pPr>
              <w:spacing w:line="579" w:lineRule="exact"/>
              <w:jc w:val="both"/>
              <w:rPr>
                <w:rFonts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  <w:t>近3年获得国家级荣誉称号或良好信用信息、全球展览业协会（UFI）认证得3分；近3年获得省级荣誉称号或良好信用信息的，得2分；近3年获市级荣誉称号或良好信用信息的，得1分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1044" w:type="dxa"/>
            <w:vMerge w:val="continue"/>
            <w:vAlign w:val="center"/>
          </w:tcPr>
          <w:p>
            <w:pPr>
              <w:spacing w:line="579" w:lineRule="exact"/>
              <w:jc w:val="center"/>
              <w:rPr>
                <w:rFonts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598" w:type="dxa"/>
            <w:vMerge w:val="continue"/>
            <w:vAlign w:val="center"/>
          </w:tcPr>
          <w:p>
            <w:pPr>
              <w:spacing w:line="579" w:lineRule="exact"/>
              <w:jc w:val="center"/>
              <w:rPr>
                <w:rFonts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755" w:type="dxa"/>
            <w:vAlign w:val="center"/>
          </w:tcPr>
          <w:p>
            <w:pPr>
              <w:spacing w:line="579" w:lineRule="exact"/>
              <w:jc w:val="center"/>
              <w:rPr>
                <w:rFonts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</w:rPr>
              <w:t>赞助商数量</w:t>
            </w:r>
          </w:p>
        </w:tc>
        <w:tc>
          <w:tcPr>
            <w:tcW w:w="567" w:type="dxa"/>
            <w:vAlign w:val="center"/>
          </w:tcPr>
          <w:p>
            <w:pPr>
              <w:spacing w:line="579" w:lineRule="exact"/>
              <w:jc w:val="center"/>
              <w:rPr>
                <w:rFonts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4760" w:type="dxa"/>
            <w:vAlign w:val="center"/>
          </w:tcPr>
          <w:p>
            <w:pPr>
              <w:spacing w:line="579" w:lineRule="exact"/>
              <w:jc w:val="both"/>
              <w:rPr>
                <w:rFonts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  <w:t>1个赞助商得1分，每增一个增0.5分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  <w:jc w:val="center"/>
        </w:trPr>
        <w:tc>
          <w:tcPr>
            <w:tcW w:w="1044" w:type="dxa"/>
            <w:vMerge w:val="continue"/>
            <w:vAlign w:val="center"/>
          </w:tcPr>
          <w:p>
            <w:pPr>
              <w:spacing w:line="579" w:lineRule="exact"/>
              <w:jc w:val="center"/>
              <w:rPr>
                <w:rFonts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598" w:type="dxa"/>
            <w:vMerge w:val="continue"/>
            <w:vAlign w:val="center"/>
          </w:tcPr>
          <w:p>
            <w:pPr>
              <w:spacing w:line="579" w:lineRule="exact"/>
              <w:jc w:val="center"/>
              <w:rPr>
                <w:rFonts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755" w:type="dxa"/>
            <w:vAlign w:val="center"/>
          </w:tcPr>
          <w:p>
            <w:pPr>
              <w:spacing w:line="579" w:lineRule="exact"/>
              <w:jc w:val="center"/>
              <w:rPr>
                <w:rFonts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</w:rPr>
              <w:t>知识产权保护</w:t>
            </w:r>
          </w:p>
        </w:tc>
        <w:tc>
          <w:tcPr>
            <w:tcW w:w="567" w:type="dxa"/>
            <w:vAlign w:val="center"/>
          </w:tcPr>
          <w:p>
            <w:pPr>
              <w:spacing w:line="579" w:lineRule="exact"/>
              <w:jc w:val="center"/>
              <w:rPr>
                <w:rFonts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4760" w:type="dxa"/>
            <w:vAlign w:val="center"/>
          </w:tcPr>
          <w:p>
            <w:pPr>
              <w:spacing w:line="579" w:lineRule="exact"/>
              <w:jc w:val="both"/>
              <w:rPr>
                <w:rFonts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  <w:t>展览举办期间，有知识产权保护机构进驻现场的，得2分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7" w:hRule="atLeast"/>
          <w:jc w:val="center"/>
        </w:trPr>
        <w:tc>
          <w:tcPr>
            <w:tcW w:w="1044" w:type="dxa"/>
            <w:vAlign w:val="center"/>
          </w:tcPr>
          <w:p>
            <w:pPr>
              <w:spacing w:line="579" w:lineRule="exact"/>
              <w:jc w:val="center"/>
              <w:rPr>
                <w:rFonts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</w:rPr>
              <w:t>其他</w:t>
            </w:r>
          </w:p>
        </w:tc>
        <w:tc>
          <w:tcPr>
            <w:tcW w:w="598" w:type="dxa"/>
            <w:vAlign w:val="center"/>
          </w:tcPr>
          <w:p>
            <w:pPr>
              <w:spacing w:line="579" w:lineRule="exact"/>
              <w:jc w:val="center"/>
              <w:rPr>
                <w:rFonts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</w:rPr>
              <w:t>12</w:t>
            </w:r>
          </w:p>
        </w:tc>
        <w:tc>
          <w:tcPr>
            <w:tcW w:w="1755" w:type="dxa"/>
            <w:vAlign w:val="center"/>
          </w:tcPr>
          <w:p>
            <w:pPr>
              <w:spacing w:line="579" w:lineRule="exact"/>
              <w:jc w:val="center"/>
              <w:rPr>
                <w:rFonts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</w:rPr>
              <w:t>产业契合度或</w:t>
            </w:r>
          </w:p>
          <w:p>
            <w:pPr>
              <w:spacing w:line="579" w:lineRule="exact"/>
              <w:jc w:val="center"/>
              <w:rPr>
                <w:rFonts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</w:rPr>
              <w:t>影响力</w:t>
            </w:r>
          </w:p>
        </w:tc>
        <w:tc>
          <w:tcPr>
            <w:tcW w:w="567" w:type="dxa"/>
            <w:vAlign w:val="center"/>
          </w:tcPr>
          <w:p>
            <w:pPr>
              <w:spacing w:line="579" w:lineRule="exact"/>
              <w:jc w:val="center"/>
              <w:rPr>
                <w:rFonts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</w:rPr>
              <w:t>12</w:t>
            </w:r>
          </w:p>
        </w:tc>
        <w:tc>
          <w:tcPr>
            <w:tcW w:w="4760" w:type="dxa"/>
            <w:vAlign w:val="center"/>
          </w:tcPr>
          <w:p>
            <w:pPr>
              <w:spacing w:line="579" w:lineRule="exact"/>
              <w:jc w:val="both"/>
              <w:rPr>
                <w:rFonts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  <w:t>展览主体所属行业契合《总体方案》涉及的重点产业，或对重点产业的发展有指导意义或展览本身具较强影响力和标识性，得12分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7" w:hRule="atLeast"/>
          <w:jc w:val="center"/>
        </w:trPr>
        <w:tc>
          <w:tcPr>
            <w:tcW w:w="1044" w:type="dxa"/>
            <w:vMerge w:val="restart"/>
            <w:vAlign w:val="center"/>
          </w:tcPr>
          <w:p>
            <w:pPr>
              <w:spacing w:line="579" w:lineRule="exact"/>
              <w:jc w:val="center"/>
              <w:rPr>
                <w:rFonts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</w:rPr>
              <w:t>加分项</w:t>
            </w:r>
          </w:p>
        </w:tc>
        <w:tc>
          <w:tcPr>
            <w:tcW w:w="598" w:type="dxa"/>
            <w:vMerge w:val="restart"/>
            <w:vAlign w:val="center"/>
          </w:tcPr>
          <w:p>
            <w:pPr>
              <w:spacing w:line="579" w:lineRule="exact"/>
              <w:jc w:val="center"/>
              <w:rPr>
                <w:rFonts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</w:rPr>
              <w:t>15</w:t>
            </w:r>
          </w:p>
        </w:tc>
        <w:tc>
          <w:tcPr>
            <w:tcW w:w="1755" w:type="dxa"/>
            <w:vAlign w:val="center"/>
          </w:tcPr>
          <w:p>
            <w:pPr>
              <w:spacing w:line="579" w:lineRule="exact"/>
              <w:jc w:val="center"/>
              <w:rPr>
                <w:rFonts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</w:rPr>
              <w:t>往届规模</w:t>
            </w:r>
          </w:p>
        </w:tc>
        <w:tc>
          <w:tcPr>
            <w:tcW w:w="567" w:type="dxa"/>
            <w:vAlign w:val="center"/>
          </w:tcPr>
          <w:p>
            <w:pPr>
              <w:spacing w:line="579" w:lineRule="exact"/>
              <w:jc w:val="center"/>
              <w:rPr>
                <w:rFonts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4760" w:type="dxa"/>
            <w:vAlign w:val="center"/>
          </w:tcPr>
          <w:p>
            <w:pPr>
              <w:spacing w:line="579" w:lineRule="exact"/>
              <w:jc w:val="both"/>
              <w:rPr>
                <w:rFonts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  <w:t>展览在其他城市成功举办三届以上且具有一定规模（30,000平方米及以上），得5分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7" w:hRule="atLeast"/>
          <w:jc w:val="center"/>
        </w:trPr>
        <w:tc>
          <w:tcPr>
            <w:tcW w:w="1044" w:type="dxa"/>
            <w:vMerge w:val="continue"/>
            <w:vAlign w:val="center"/>
          </w:tcPr>
          <w:p>
            <w:pPr>
              <w:spacing w:line="579" w:lineRule="exact"/>
              <w:jc w:val="center"/>
              <w:rPr>
                <w:rFonts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598" w:type="dxa"/>
            <w:vMerge w:val="continue"/>
            <w:vAlign w:val="center"/>
          </w:tcPr>
          <w:p>
            <w:pPr>
              <w:spacing w:line="579" w:lineRule="exact"/>
              <w:jc w:val="center"/>
              <w:rPr>
                <w:rFonts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755" w:type="dxa"/>
            <w:vAlign w:val="center"/>
          </w:tcPr>
          <w:p>
            <w:pPr>
              <w:spacing w:line="579" w:lineRule="exact"/>
              <w:jc w:val="center"/>
              <w:rPr>
                <w:rFonts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</w:rPr>
              <w:t>促进产业聚集</w:t>
            </w:r>
          </w:p>
        </w:tc>
        <w:tc>
          <w:tcPr>
            <w:tcW w:w="567" w:type="dxa"/>
            <w:vAlign w:val="center"/>
          </w:tcPr>
          <w:p>
            <w:pPr>
              <w:spacing w:line="579" w:lineRule="exact"/>
              <w:jc w:val="center"/>
              <w:rPr>
                <w:rFonts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4760" w:type="dxa"/>
            <w:vAlign w:val="center"/>
          </w:tcPr>
          <w:p>
            <w:pPr>
              <w:spacing w:line="579" w:lineRule="exact"/>
              <w:jc w:val="both"/>
              <w:rPr>
                <w:rFonts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  <w:t>展览举办期间，举办招商引资推介会、参观考察等招商引资活动1个，得2分，每增加举办1个得1分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7" w:hRule="atLeast"/>
          <w:jc w:val="center"/>
        </w:trPr>
        <w:tc>
          <w:tcPr>
            <w:tcW w:w="1044" w:type="dxa"/>
            <w:vMerge w:val="continue"/>
            <w:vAlign w:val="center"/>
          </w:tcPr>
          <w:p>
            <w:pPr>
              <w:spacing w:line="579" w:lineRule="exact"/>
              <w:jc w:val="center"/>
              <w:rPr>
                <w:rFonts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598" w:type="dxa"/>
            <w:vMerge w:val="continue"/>
            <w:vAlign w:val="center"/>
          </w:tcPr>
          <w:p>
            <w:pPr>
              <w:spacing w:line="579" w:lineRule="exact"/>
              <w:jc w:val="center"/>
              <w:rPr>
                <w:rFonts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755" w:type="dxa"/>
            <w:vAlign w:val="center"/>
          </w:tcPr>
          <w:p>
            <w:pPr>
              <w:spacing w:line="579" w:lineRule="exact"/>
              <w:jc w:val="center"/>
              <w:rPr>
                <w:rFonts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</w:rPr>
              <w:t>促进经贸交易</w:t>
            </w:r>
          </w:p>
        </w:tc>
        <w:tc>
          <w:tcPr>
            <w:tcW w:w="567" w:type="dxa"/>
            <w:vAlign w:val="center"/>
          </w:tcPr>
          <w:p>
            <w:pPr>
              <w:spacing w:line="579" w:lineRule="exact"/>
              <w:jc w:val="center"/>
              <w:rPr>
                <w:rFonts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4760" w:type="dxa"/>
            <w:vAlign w:val="center"/>
          </w:tcPr>
          <w:p>
            <w:pPr>
              <w:spacing w:line="579" w:lineRule="exact"/>
              <w:jc w:val="both"/>
              <w:rPr>
                <w:rFonts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  <w:t>展览举办期间，现场销售额达100万元以上，得2分，现场销售额每增加50万元得1分</w:t>
            </w:r>
          </w:p>
        </w:tc>
      </w:tr>
    </w:tbl>
    <w:p>
      <w:pPr>
        <w:spacing w:line="579" w:lineRule="exact"/>
        <w:rPr>
          <w:rFonts w:ascii="Times New Roman" w:hAnsi="Times New Roman" w:cs="Times New Roman"/>
          <w:color w:val="auto"/>
          <w:lang w:eastAsia="zh-CN"/>
        </w:rPr>
      </w:pPr>
      <w:bookmarkStart w:id="0" w:name="_GoBack"/>
      <w:bookmarkEnd w:id="0"/>
    </w:p>
    <w:sectPr>
      <w:footerReference r:id="rId3" w:type="default"/>
      <w:pgSz w:w="11906" w:h="16838"/>
      <w:pgMar w:top="2098" w:right="1587" w:bottom="2098" w:left="1587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1CED676E-B15A-414B-B83C-09632629FCF8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2" w:fontKey="{F1198ACD-C97C-4420-9F52-FEB4C0EADB8C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  <w:embedRegular r:id="rId3" w:fontKey="{753AB138-0ADB-489A-B258-AF3E66FD9CC5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4" w:fontKey="{0EDC5F5C-A120-49A0-B18B-BBE374F4743E}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5" w:fontKey="{52334215-FC18-4B4D-9270-6BBAC64F8378}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  <w:embedRegular r:id="rId6" w:fontKey="{02AE200D-6BB7-42E0-88FB-51FEBD5D4DE3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Microsoft JhengHei">
    <w:panose1 w:val="020B0604030504040204"/>
    <w:charset w:val="88"/>
    <w:family w:val="swiss"/>
    <w:pitch w:val="default"/>
    <w:sig w:usb0="000002A7" w:usb1="28CF4400" w:usb2="00000016" w:usb3="00000000" w:csb0="00100009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7" w:fontKey="{38E983D0-CBE4-427E-9792-FBB6AD13D0A2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8" w:fontKey="{06E3396A-AA82-4E66-9A47-55AC16F54980}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PMingLiU">
    <w:altName w:val="PMingLiU-ExtB"/>
    <w:panose1 w:val="02020500000000000000"/>
    <w:charset w:val="88"/>
    <w:family w:val="roman"/>
    <w:pitch w:val="default"/>
    <w:sig w:usb0="00000000" w:usb1="00000000" w:usb2="00000016" w:usb3="00000000" w:csb0="0010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jc w:val="right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10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- 52 -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DOqXm5zwAAAAUBAAAPAAAAAAAAAAEAIAAAACIAAABkcnMvZG93bnJldi54bWxQ&#10;SwECFAAUAAAACACHTuJA9Aknl8cBAACZAwAADgAAAAAAAAABACAAAAAeAQAAZHJzL2Uyb0RvYy54&#10;bWxQSwUGAAAAAAYABgBZAQAAV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0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- 52 -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  <w:p>
    <w:pPr>
      <w:pStyle w:val="10"/>
    </w:pPr>
  </w:p>
  <w:p/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bordersDoNotSurroundHeader w:val="1"/>
  <w:bordersDoNotSurroundFooter w:val="1"/>
  <w:attachedTemplate r:id="rId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0673D"/>
    <w:rsid w:val="000128CC"/>
    <w:rsid w:val="000131EF"/>
    <w:rsid w:val="00032251"/>
    <w:rsid w:val="0003607C"/>
    <w:rsid w:val="00042106"/>
    <w:rsid w:val="000616DC"/>
    <w:rsid w:val="000629E1"/>
    <w:rsid w:val="00076319"/>
    <w:rsid w:val="0008653E"/>
    <w:rsid w:val="0009069E"/>
    <w:rsid w:val="000B7917"/>
    <w:rsid w:val="000D2753"/>
    <w:rsid w:val="000D4979"/>
    <w:rsid w:val="000E040A"/>
    <w:rsid w:val="000F00A8"/>
    <w:rsid w:val="000F04A3"/>
    <w:rsid w:val="00114846"/>
    <w:rsid w:val="001161FA"/>
    <w:rsid w:val="001215D2"/>
    <w:rsid w:val="001270A8"/>
    <w:rsid w:val="00137E93"/>
    <w:rsid w:val="001538A6"/>
    <w:rsid w:val="00164361"/>
    <w:rsid w:val="00164D40"/>
    <w:rsid w:val="0016583A"/>
    <w:rsid w:val="00172A27"/>
    <w:rsid w:val="001819D4"/>
    <w:rsid w:val="00191F9D"/>
    <w:rsid w:val="001D54A1"/>
    <w:rsid w:val="001D7074"/>
    <w:rsid w:val="001F326F"/>
    <w:rsid w:val="00224B60"/>
    <w:rsid w:val="002413C6"/>
    <w:rsid w:val="00246388"/>
    <w:rsid w:val="00265D0F"/>
    <w:rsid w:val="00280437"/>
    <w:rsid w:val="00290A08"/>
    <w:rsid w:val="00294500"/>
    <w:rsid w:val="00295DD4"/>
    <w:rsid w:val="00296BA1"/>
    <w:rsid w:val="002A34E9"/>
    <w:rsid w:val="002A4851"/>
    <w:rsid w:val="002A4DD2"/>
    <w:rsid w:val="002B2BF8"/>
    <w:rsid w:val="002B3D94"/>
    <w:rsid w:val="002D0AB8"/>
    <w:rsid w:val="002D4A21"/>
    <w:rsid w:val="002D66E0"/>
    <w:rsid w:val="002D7D3A"/>
    <w:rsid w:val="002E29D1"/>
    <w:rsid w:val="002E307B"/>
    <w:rsid w:val="002E7414"/>
    <w:rsid w:val="002F4B78"/>
    <w:rsid w:val="003028F5"/>
    <w:rsid w:val="00306C3A"/>
    <w:rsid w:val="0031135F"/>
    <w:rsid w:val="00315175"/>
    <w:rsid w:val="0032725C"/>
    <w:rsid w:val="003310A2"/>
    <w:rsid w:val="003337F9"/>
    <w:rsid w:val="00340E4E"/>
    <w:rsid w:val="003413D9"/>
    <w:rsid w:val="003462E2"/>
    <w:rsid w:val="00365F8E"/>
    <w:rsid w:val="00373B88"/>
    <w:rsid w:val="00374DB1"/>
    <w:rsid w:val="00383778"/>
    <w:rsid w:val="003972F2"/>
    <w:rsid w:val="003A5FF1"/>
    <w:rsid w:val="003A6355"/>
    <w:rsid w:val="003B41E2"/>
    <w:rsid w:val="003B577E"/>
    <w:rsid w:val="003C3195"/>
    <w:rsid w:val="003C66BB"/>
    <w:rsid w:val="003D00F5"/>
    <w:rsid w:val="003D7A84"/>
    <w:rsid w:val="00403223"/>
    <w:rsid w:val="00411279"/>
    <w:rsid w:val="004263B9"/>
    <w:rsid w:val="00430DC5"/>
    <w:rsid w:val="0043376E"/>
    <w:rsid w:val="00440682"/>
    <w:rsid w:val="00441C5A"/>
    <w:rsid w:val="00445D6E"/>
    <w:rsid w:val="004524FC"/>
    <w:rsid w:val="00456C9C"/>
    <w:rsid w:val="004766E6"/>
    <w:rsid w:val="0047721A"/>
    <w:rsid w:val="00481F55"/>
    <w:rsid w:val="004826F5"/>
    <w:rsid w:val="00490B66"/>
    <w:rsid w:val="004962A9"/>
    <w:rsid w:val="004A00BC"/>
    <w:rsid w:val="004A26D7"/>
    <w:rsid w:val="004A4F52"/>
    <w:rsid w:val="004A5328"/>
    <w:rsid w:val="004B145E"/>
    <w:rsid w:val="004B62A0"/>
    <w:rsid w:val="004B7871"/>
    <w:rsid w:val="004D4665"/>
    <w:rsid w:val="004D7004"/>
    <w:rsid w:val="004E0FDE"/>
    <w:rsid w:val="004E4A02"/>
    <w:rsid w:val="004E768E"/>
    <w:rsid w:val="004F2F3E"/>
    <w:rsid w:val="004F30D1"/>
    <w:rsid w:val="00520E2A"/>
    <w:rsid w:val="005229B3"/>
    <w:rsid w:val="0053250F"/>
    <w:rsid w:val="005362A1"/>
    <w:rsid w:val="00540811"/>
    <w:rsid w:val="00543D00"/>
    <w:rsid w:val="005474AC"/>
    <w:rsid w:val="0055285E"/>
    <w:rsid w:val="0055368B"/>
    <w:rsid w:val="00567657"/>
    <w:rsid w:val="00573435"/>
    <w:rsid w:val="00586599"/>
    <w:rsid w:val="00587B7C"/>
    <w:rsid w:val="00597A59"/>
    <w:rsid w:val="005B0EB6"/>
    <w:rsid w:val="005B4770"/>
    <w:rsid w:val="005C1CEE"/>
    <w:rsid w:val="005D0CD9"/>
    <w:rsid w:val="005D5D8B"/>
    <w:rsid w:val="005E0353"/>
    <w:rsid w:val="005E1CA7"/>
    <w:rsid w:val="005E29B4"/>
    <w:rsid w:val="005E65CF"/>
    <w:rsid w:val="005F4AFA"/>
    <w:rsid w:val="0060698C"/>
    <w:rsid w:val="00626C6F"/>
    <w:rsid w:val="00635B2F"/>
    <w:rsid w:val="006557A3"/>
    <w:rsid w:val="00671ACB"/>
    <w:rsid w:val="00675E96"/>
    <w:rsid w:val="00676AF2"/>
    <w:rsid w:val="00680CE7"/>
    <w:rsid w:val="00681B5B"/>
    <w:rsid w:val="00692995"/>
    <w:rsid w:val="006A3097"/>
    <w:rsid w:val="006B1905"/>
    <w:rsid w:val="006B19C1"/>
    <w:rsid w:val="006B2DF9"/>
    <w:rsid w:val="006B42F2"/>
    <w:rsid w:val="006D1872"/>
    <w:rsid w:val="006D5507"/>
    <w:rsid w:val="006E40CC"/>
    <w:rsid w:val="006F4FE6"/>
    <w:rsid w:val="006F5B8B"/>
    <w:rsid w:val="00706FA2"/>
    <w:rsid w:val="0071520C"/>
    <w:rsid w:val="00716D0C"/>
    <w:rsid w:val="00723042"/>
    <w:rsid w:val="0072768C"/>
    <w:rsid w:val="007412F1"/>
    <w:rsid w:val="00742A00"/>
    <w:rsid w:val="0075786A"/>
    <w:rsid w:val="00757A38"/>
    <w:rsid w:val="00766722"/>
    <w:rsid w:val="00767D9B"/>
    <w:rsid w:val="00770799"/>
    <w:rsid w:val="00773139"/>
    <w:rsid w:val="007917DF"/>
    <w:rsid w:val="007945B1"/>
    <w:rsid w:val="007A0F9B"/>
    <w:rsid w:val="007A2262"/>
    <w:rsid w:val="007B0CBC"/>
    <w:rsid w:val="007B27C0"/>
    <w:rsid w:val="007C5936"/>
    <w:rsid w:val="007E12F8"/>
    <w:rsid w:val="007F0099"/>
    <w:rsid w:val="008319F5"/>
    <w:rsid w:val="00843D72"/>
    <w:rsid w:val="00851154"/>
    <w:rsid w:val="00856280"/>
    <w:rsid w:val="008810B2"/>
    <w:rsid w:val="008B2413"/>
    <w:rsid w:val="008E455B"/>
    <w:rsid w:val="008F02AF"/>
    <w:rsid w:val="008F2D49"/>
    <w:rsid w:val="009004BD"/>
    <w:rsid w:val="00901290"/>
    <w:rsid w:val="009049E7"/>
    <w:rsid w:val="0092430B"/>
    <w:rsid w:val="0093417A"/>
    <w:rsid w:val="00940BE4"/>
    <w:rsid w:val="00945F4B"/>
    <w:rsid w:val="00946770"/>
    <w:rsid w:val="00947C4C"/>
    <w:rsid w:val="00962C46"/>
    <w:rsid w:val="00962ECF"/>
    <w:rsid w:val="009642A3"/>
    <w:rsid w:val="00964CB5"/>
    <w:rsid w:val="00970205"/>
    <w:rsid w:val="00980080"/>
    <w:rsid w:val="00982CDE"/>
    <w:rsid w:val="009B1272"/>
    <w:rsid w:val="009B647F"/>
    <w:rsid w:val="009C06C6"/>
    <w:rsid w:val="009D1B95"/>
    <w:rsid w:val="009D2F6A"/>
    <w:rsid w:val="009D3036"/>
    <w:rsid w:val="009D75F9"/>
    <w:rsid w:val="009F3872"/>
    <w:rsid w:val="009F3DB9"/>
    <w:rsid w:val="00A00D44"/>
    <w:rsid w:val="00A055AD"/>
    <w:rsid w:val="00A06165"/>
    <w:rsid w:val="00A06A03"/>
    <w:rsid w:val="00A13EB9"/>
    <w:rsid w:val="00A16909"/>
    <w:rsid w:val="00A37F37"/>
    <w:rsid w:val="00A40323"/>
    <w:rsid w:val="00A41941"/>
    <w:rsid w:val="00A42458"/>
    <w:rsid w:val="00A44C50"/>
    <w:rsid w:val="00A54A7E"/>
    <w:rsid w:val="00A6683D"/>
    <w:rsid w:val="00A86F89"/>
    <w:rsid w:val="00A9097F"/>
    <w:rsid w:val="00A90A28"/>
    <w:rsid w:val="00AB1CC0"/>
    <w:rsid w:val="00AF5FEB"/>
    <w:rsid w:val="00B26FEA"/>
    <w:rsid w:val="00B30281"/>
    <w:rsid w:val="00B40868"/>
    <w:rsid w:val="00B510F0"/>
    <w:rsid w:val="00B514DB"/>
    <w:rsid w:val="00B63DEB"/>
    <w:rsid w:val="00BA7C91"/>
    <w:rsid w:val="00BB4350"/>
    <w:rsid w:val="00BB5493"/>
    <w:rsid w:val="00BC1B8F"/>
    <w:rsid w:val="00BC711B"/>
    <w:rsid w:val="00BD6F67"/>
    <w:rsid w:val="00BE6DFC"/>
    <w:rsid w:val="00BF64F2"/>
    <w:rsid w:val="00BF7A48"/>
    <w:rsid w:val="00C06922"/>
    <w:rsid w:val="00C10A0F"/>
    <w:rsid w:val="00C14F3D"/>
    <w:rsid w:val="00C2343F"/>
    <w:rsid w:val="00C30F2A"/>
    <w:rsid w:val="00C4202F"/>
    <w:rsid w:val="00C43F38"/>
    <w:rsid w:val="00C52B17"/>
    <w:rsid w:val="00C60983"/>
    <w:rsid w:val="00C629E2"/>
    <w:rsid w:val="00C736C8"/>
    <w:rsid w:val="00C74E57"/>
    <w:rsid w:val="00C80631"/>
    <w:rsid w:val="00C80848"/>
    <w:rsid w:val="00C82F25"/>
    <w:rsid w:val="00C8793F"/>
    <w:rsid w:val="00C90AF2"/>
    <w:rsid w:val="00C94036"/>
    <w:rsid w:val="00C95E78"/>
    <w:rsid w:val="00CD234C"/>
    <w:rsid w:val="00CD724C"/>
    <w:rsid w:val="00CE3EC8"/>
    <w:rsid w:val="00CF05AC"/>
    <w:rsid w:val="00CF1598"/>
    <w:rsid w:val="00CF3040"/>
    <w:rsid w:val="00CF670B"/>
    <w:rsid w:val="00D06831"/>
    <w:rsid w:val="00D07EA4"/>
    <w:rsid w:val="00D1255B"/>
    <w:rsid w:val="00D21BDD"/>
    <w:rsid w:val="00D27831"/>
    <w:rsid w:val="00D305AC"/>
    <w:rsid w:val="00D41AF2"/>
    <w:rsid w:val="00D438B2"/>
    <w:rsid w:val="00D45762"/>
    <w:rsid w:val="00D5521D"/>
    <w:rsid w:val="00D6533E"/>
    <w:rsid w:val="00D65F5C"/>
    <w:rsid w:val="00D66A23"/>
    <w:rsid w:val="00D66DDE"/>
    <w:rsid w:val="00D708FB"/>
    <w:rsid w:val="00D71AE6"/>
    <w:rsid w:val="00D863B5"/>
    <w:rsid w:val="00DA1219"/>
    <w:rsid w:val="00DA4743"/>
    <w:rsid w:val="00DB0AB5"/>
    <w:rsid w:val="00DB5E8E"/>
    <w:rsid w:val="00DD4577"/>
    <w:rsid w:val="00E07A5E"/>
    <w:rsid w:val="00E12B29"/>
    <w:rsid w:val="00E16CBE"/>
    <w:rsid w:val="00E2299D"/>
    <w:rsid w:val="00E2766A"/>
    <w:rsid w:val="00E36592"/>
    <w:rsid w:val="00E37DB1"/>
    <w:rsid w:val="00E567CD"/>
    <w:rsid w:val="00E6704E"/>
    <w:rsid w:val="00E70ADB"/>
    <w:rsid w:val="00E7653F"/>
    <w:rsid w:val="00E76EBF"/>
    <w:rsid w:val="00E76EFF"/>
    <w:rsid w:val="00E770BB"/>
    <w:rsid w:val="00E80344"/>
    <w:rsid w:val="00E92E5A"/>
    <w:rsid w:val="00E94214"/>
    <w:rsid w:val="00E94F87"/>
    <w:rsid w:val="00EA1D43"/>
    <w:rsid w:val="00EB5452"/>
    <w:rsid w:val="00EC699B"/>
    <w:rsid w:val="00EC77AB"/>
    <w:rsid w:val="00ED3C59"/>
    <w:rsid w:val="00ED5986"/>
    <w:rsid w:val="00ED66A5"/>
    <w:rsid w:val="00ED7CBC"/>
    <w:rsid w:val="00EF4D54"/>
    <w:rsid w:val="00F1109D"/>
    <w:rsid w:val="00F15BDC"/>
    <w:rsid w:val="00F21521"/>
    <w:rsid w:val="00F21674"/>
    <w:rsid w:val="00F21CA9"/>
    <w:rsid w:val="00F508FD"/>
    <w:rsid w:val="00F53EC5"/>
    <w:rsid w:val="00F602EE"/>
    <w:rsid w:val="00F647BD"/>
    <w:rsid w:val="00FA4432"/>
    <w:rsid w:val="00FC71E8"/>
    <w:rsid w:val="00FD3C6C"/>
    <w:rsid w:val="00FD628D"/>
    <w:rsid w:val="00FD7843"/>
    <w:rsid w:val="00FD7A74"/>
    <w:rsid w:val="00FD7E99"/>
    <w:rsid w:val="00FE0AD7"/>
    <w:rsid w:val="00FF4FC0"/>
    <w:rsid w:val="02900CBF"/>
    <w:rsid w:val="02FE7699"/>
    <w:rsid w:val="04F83B6A"/>
    <w:rsid w:val="064574FF"/>
    <w:rsid w:val="068E0D90"/>
    <w:rsid w:val="07A07BF6"/>
    <w:rsid w:val="0800089D"/>
    <w:rsid w:val="085F612F"/>
    <w:rsid w:val="09F66964"/>
    <w:rsid w:val="0A7E4B86"/>
    <w:rsid w:val="0AD00B10"/>
    <w:rsid w:val="0B0E611F"/>
    <w:rsid w:val="0B3B6FFB"/>
    <w:rsid w:val="0B853A6E"/>
    <w:rsid w:val="0BA619BF"/>
    <w:rsid w:val="0BAD6F0F"/>
    <w:rsid w:val="0CA24E3F"/>
    <w:rsid w:val="0CDB28C3"/>
    <w:rsid w:val="0D1424ED"/>
    <w:rsid w:val="0DC7702A"/>
    <w:rsid w:val="0EC465C7"/>
    <w:rsid w:val="0F117BA2"/>
    <w:rsid w:val="0FAC132A"/>
    <w:rsid w:val="11043FAF"/>
    <w:rsid w:val="119713D4"/>
    <w:rsid w:val="11A27059"/>
    <w:rsid w:val="12D3765D"/>
    <w:rsid w:val="13696BC5"/>
    <w:rsid w:val="15F7DA36"/>
    <w:rsid w:val="17CB3C02"/>
    <w:rsid w:val="187C3D68"/>
    <w:rsid w:val="19A00A9E"/>
    <w:rsid w:val="1A0A2792"/>
    <w:rsid w:val="1AB6357E"/>
    <w:rsid w:val="1B1B5988"/>
    <w:rsid w:val="1B791A0B"/>
    <w:rsid w:val="1BE849AE"/>
    <w:rsid w:val="1C205D83"/>
    <w:rsid w:val="1CAA5AFD"/>
    <w:rsid w:val="1DEF438F"/>
    <w:rsid w:val="1ECC2C27"/>
    <w:rsid w:val="1EF61F18"/>
    <w:rsid w:val="1F1A3993"/>
    <w:rsid w:val="1FEF16F3"/>
    <w:rsid w:val="203A5B66"/>
    <w:rsid w:val="215229B9"/>
    <w:rsid w:val="21B5439C"/>
    <w:rsid w:val="22203C31"/>
    <w:rsid w:val="22404C83"/>
    <w:rsid w:val="22464D02"/>
    <w:rsid w:val="231E6C47"/>
    <w:rsid w:val="23D4527C"/>
    <w:rsid w:val="241676AA"/>
    <w:rsid w:val="242B0763"/>
    <w:rsid w:val="2464432F"/>
    <w:rsid w:val="25806C84"/>
    <w:rsid w:val="258B4C99"/>
    <w:rsid w:val="260C3F6F"/>
    <w:rsid w:val="2697085D"/>
    <w:rsid w:val="26E15E21"/>
    <w:rsid w:val="26FD3074"/>
    <w:rsid w:val="272C077D"/>
    <w:rsid w:val="279022D1"/>
    <w:rsid w:val="279B763B"/>
    <w:rsid w:val="279F0966"/>
    <w:rsid w:val="27B34330"/>
    <w:rsid w:val="27ED6C10"/>
    <w:rsid w:val="28786934"/>
    <w:rsid w:val="28B7285B"/>
    <w:rsid w:val="2A3230EF"/>
    <w:rsid w:val="2BF27FEE"/>
    <w:rsid w:val="2C764DAF"/>
    <w:rsid w:val="2D160B9D"/>
    <w:rsid w:val="2D9767D9"/>
    <w:rsid w:val="2DA749EF"/>
    <w:rsid w:val="2E0C1292"/>
    <w:rsid w:val="2EFB7C20"/>
    <w:rsid w:val="30F54B13"/>
    <w:rsid w:val="31175F84"/>
    <w:rsid w:val="31BC43A8"/>
    <w:rsid w:val="31BF1D11"/>
    <w:rsid w:val="33FF8EF0"/>
    <w:rsid w:val="35C175AD"/>
    <w:rsid w:val="35C95A1E"/>
    <w:rsid w:val="35EA6A8E"/>
    <w:rsid w:val="3633471A"/>
    <w:rsid w:val="36A11239"/>
    <w:rsid w:val="36EE6437"/>
    <w:rsid w:val="37A72CEA"/>
    <w:rsid w:val="3871635D"/>
    <w:rsid w:val="38831F9F"/>
    <w:rsid w:val="392C1C82"/>
    <w:rsid w:val="393B1134"/>
    <w:rsid w:val="399250BD"/>
    <w:rsid w:val="3A0C4A66"/>
    <w:rsid w:val="3A3F5726"/>
    <w:rsid w:val="3A971FD6"/>
    <w:rsid w:val="3BD66F25"/>
    <w:rsid w:val="3BDC04F6"/>
    <w:rsid w:val="3BDC1A62"/>
    <w:rsid w:val="3BE250A6"/>
    <w:rsid w:val="3BF70974"/>
    <w:rsid w:val="3BFFC6F2"/>
    <w:rsid w:val="3D597AFB"/>
    <w:rsid w:val="3D67C489"/>
    <w:rsid w:val="3D943142"/>
    <w:rsid w:val="3DBB7856"/>
    <w:rsid w:val="3DD16CED"/>
    <w:rsid w:val="3EAF135A"/>
    <w:rsid w:val="3EFFD790"/>
    <w:rsid w:val="3EFFEC8D"/>
    <w:rsid w:val="3F541F4C"/>
    <w:rsid w:val="3F7A2AC9"/>
    <w:rsid w:val="3FD036BE"/>
    <w:rsid w:val="3FE24223"/>
    <w:rsid w:val="3FFC7450"/>
    <w:rsid w:val="3FFF8932"/>
    <w:rsid w:val="4006103B"/>
    <w:rsid w:val="401F2446"/>
    <w:rsid w:val="40C66509"/>
    <w:rsid w:val="4111484F"/>
    <w:rsid w:val="41347711"/>
    <w:rsid w:val="41A80590"/>
    <w:rsid w:val="422E7D02"/>
    <w:rsid w:val="430971D7"/>
    <w:rsid w:val="435D635D"/>
    <w:rsid w:val="437B23A2"/>
    <w:rsid w:val="43B32154"/>
    <w:rsid w:val="43F91DBB"/>
    <w:rsid w:val="44B920D2"/>
    <w:rsid w:val="46951402"/>
    <w:rsid w:val="46EC6B8F"/>
    <w:rsid w:val="47433770"/>
    <w:rsid w:val="474F068C"/>
    <w:rsid w:val="48B7248F"/>
    <w:rsid w:val="49280C32"/>
    <w:rsid w:val="49EA5B01"/>
    <w:rsid w:val="4A6E6017"/>
    <w:rsid w:val="4B0967FC"/>
    <w:rsid w:val="4B7E9431"/>
    <w:rsid w:val="4BDC3BFA"/>
    <w:rsid w:val="4C0B3AFC"/>
    <w:rsid w:val="4CD74708"/>
    <w:rsid w:val="4D035C6A"/>
    <w:rsid w:val="4D173F0D"/>
    <w:rsid w:val="4D437010"/>
    <w:rsid w:val="4E2C69CB"/>
    <w:rsid w:val="4E323FA5"/>
    <w:rsid w:val="4EEDDE11"/>
    <w:rsid w:val="4F2F5C08"/>
    <w:rsid w:val="50216051"/>
    <w:rsid w:val="504E62B1"/>
    <w:rsid w:val="50691E3A"/>
    <w:rsid w:val="50CD0B52"/>
    <w:rsid w:val="51CB1560"/>
    <w:rsid w:val="5207028F"/>
    <w:rsid w:val="52A85F07"/>
    <w:rsid w:val="52D42295"/>
    <w:rsid w:val="53195185"/>
    <w:rsid w:val="53FA5565"/>
    <w:rsid w:val="54237016"/>
    <w:rsid w:val="54BB5927"/>
    <w:rsid w:val="55732947"/>
    <w:rsid w:val="55D10548"/>
    <w:rsid w:val="562F0731"/>
    <w:rsid w:val="5732563B"/>
    <w:rsid w:val="575F4B9D"/>
    <w:rsid w:val="57B93733"/>
    <w:rsid w:val="58A921CB"/>
    <w:rsid w:val="5A696FA1"/>
    <w:rsid w:val="5AC6789B"/>
    <w:rsid w:val="5B6F5D8B"/>
    <w:rsid w:val="5BC31FE1"/>
    <w:rsid w:val="5D350B78"/>
    <w:rsid w:val="5DB32267"/>
    <w:rsid w:val="5EC8309C"/>
    <w:rsid w:val="5EFD23AE"/>
    <w:rsid w:val="5F6762CF"/>
    <w:rsid w:val="5FB1232D"/>
    <w:rsid w:val="5FE91120"/>
    <w:rsid w:val="60C67E21"/>
    <w:rsid w:val="61023CAB"/>
    <w:rsid w:val="611D39E1"/>
    <w:rsid w:val="62A11DA6"/>
    <w:rsid w:val="630E53D8"/>
    <w:rsid w:val="640E45C0"/>
    <w:rsid w:val="6438599E"/>
    <w:rsid w:val="64A663F1"/>
    <w:rsid w:val="64F117DA"/>
    <w:rsid w:val="665136DB"/>
    <w:rsid w:val="6755677A"/>
    <w:rsid w:val="68E93F0B"/>
    <w:rsid w:val="68FE73CF"/>
    <w:rsid w:val="693858FB"/>
    <w:rsid w:val="6B621521"/>
    <w:rsid w:val="6BFC64CB"/>
    <w:rsid w:val="6C0C7572"/>
    <w:rsid w:val="6D0A201B"/>
    <w:rsid w:val="6DEE183F"/>
    <w:rsid w:val="6E286D20"/>
    <w:rsid w:val="6E30254C"/>
    <w:rsid w:val="6E911A5B"/>
    <w:rsid w:val="6ED6350D"/>
    <w:rsid w:val="70455BED"/>
    <w:rsid w:val="704F233D"/>
    <w:rsid w:val="70554557"/>
    <w:rsid w:val="71363A64"/>
    <w:rsid w:val="714F4CEB"/>
    <w:rsid w:val="71C866DD"/>
    <w:rsid w:val="722424EC"/>
    <w:rsid w:val="72F72EEF"/>
    <w:rsid w:val="73E64B02"/>
    <w:rsid w:val="73FCD9BE"/>
    <w:rsid w:val="78746DE5"/>
    <w:rsid w:val="78F94FA9"/>
    <w:rsid w:val="79903B2B"/>
    <w:rsid w:val="79FD4819"/>
    <w:rsid w:val="7A303C5B"/>
    <w:rsid w:val="7ACF0C4A"/>
    <w:rsid w:val="7B044E45"/>
    <w:rsid w:val="7BE85ED0"/>
    <w:rsid w:val="7BFC79A8"/>
    <w:rsid w:val="7C3B3F07"/>
    <w:rsid w:val="7CD151BD"/>
    <w:rsid w:val="7D052701"/>
    <w:rsid w:val="7D24490C"/>
    <w:rsid w:val="7D272749"/>
    <w:rsid w:val="7D9341B1"/>
    <w:rsid w:val="7D951E45"/>
    <w:rsid w:val="7DEFCD15"/>
    <w:rsid w:val="7EB59938"/>
    <w:rsid w:val="7EFB6420"/>
    <w:rsid w:val="7FDA74DF"/>
    <w:rsid w:val="7FEE9FFC"/>
    <w:rsid w:val="7FFF3394"/>
    <w:rsid w:val="7FFF82E0"/>
    <w:rsid w:val="85FF6013"/>
    <w:rsid w:val="95FB5FF4"/>
    <w:rsid w:val="A7DD6D96"/>
    <w:rsid w:val="AE9DD2B6"/>
    <w:rsid w:val="AFBF6E5D"/>
    <w:rsid w:val="B3EBDB3D"/>
    <w:rsid w:val="B55FE3C5"/>
    <w:rsid w:val="D577D844"/>
    <w:rsid w:val="DB5759C5"/>
    <w:rsid w:val="DFDE2704"/>
    <w:rsid w:val="E5FF9FBA"/>
    <w:rsid w:val="EDDF64E8"/>
    <w:rsid w:val="F6FF2065"/>
    <w:rsid w:val="F77E0F5A"/>
    <w:rsid w:val="FBFCFB03"/>
    <w:rsid w:val="FCBEE737"/>
    <w:rsid w:val="FE3753AA"/>
    <w:rsid w:val="FFECE987"/>
    <w:rsid w:val="FFEF7325"/>
    <w:rsid w:val="FFEFF1F3"/>
    <w:rsid w:val="FFF9E4EE"/>
    <w:rsid w:val="FFFBD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9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paragraph" w:styleId="2">
    <w:name w:val="heading 1"/>
    <w:basedOn w:val="1"/>
    <w:next w:val="1"/>
    <w:link w:val="32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unhideWhenUsed/>
    <w:qFormat/>
    <w:uiPriority w:val="9"/>
    <w:pPr>
      <w:keepNext/>
      <w:keepLines/>
      <w:spacing w:before="40"/>
      <w:outlineLvl w:val="1"/>
    </w:pPr>
    <w:rPr>
      <w:rFonts w:eastAsiaTheme="majorEastAsia" w:cstheme="majorBidi"/>
      <w:sz w:val="28"/>
      <w:szCs w:val="26"/>
    </w:rPr>
  </w:style>
  <w:style w:type="paragraph" w:styleId="4">
    <w:name w:val="heading 3"/>
    <w:basedOn w:val="1"/>
    <w:next w:val="1"/>
    <w:link w:val="33"/>
    <w:unhideWhenUsed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5"/>
    <w:basedOn w:val="1"/>
    <w:next w:val="1"/>
    <w:link w:val="34"/>
    <w:semiHidden/>
    <w:unhideWhenUsed/>
    <w:qFormat/>
    <w:uiPriority w:val="0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1"/>
    <w:next w:val="1"/>
    <w:link w:val="35"/>
    <w:semiHidden/>
    <w:unhideWhenUsed/>
    <w:qFormat/>
    <w:uiPriority w:val="0"/>
    <w:pPr>
      <w:keepNext/>
      <w:keepLines/>
      <w:spacing w:before="240" w:after="64" w:line="320" w:lineRule="auto"/>
      <w:outlineLvl w:val="5"/>
    </w:pPr>
    <w:rPr>
      <w:rFonts w:asciiTheme="majorHAnsi" w:hAnsiTheme="majorHAnsi" w:eastAsiaTheme="majorEastAsia" w:cstheme="majorBidi"/>
      <w:b/>
      <w:bCs/>
      <w:sz w:val="24"/>
      <w:szCs w:val="24"/>
    </w:rPr>
  </w:style>
  <w:style w:type="character" w:default="1" w:styleId="18">
    <w:name w:val="Default Paragraph Font"/>
    <w:semiHidden/>
    <w:unhideWhenUsed/>
    <w:qFormat/>
    <w:uiPriority w:val="1"/>
  </w:style>
  <w:style w:type="table" w:default="1" w:styleId="1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Normal Indent"/>
    <w:basedOn w:val="1"/>
    <w:qFormat/>
    <w:uiPriority w:val="0"/>
    <w:pPr>
      <w:ind w:firstLine="420"/>
    </w:pPr>
    <w:rPr>
      <w:rFonts w:ascii="等线" w:hAnsi="等线" w:eastAsia="等线"/>
    </w:rPr>
  </w:style>
  <w:style w:type="paragraph" w:styleId="8">
    <w:name w:val="annotation text"/>
    <w:basedOn w:val="1"/>
    <w:link w:val="36"/>
    <w:qFormat/>
    <w:uiPriority w:val="0"/>
  </w:style>
  <w:style w:type="paragraph" w:styleId="9">
    <w:name w:val="Body Text"/>
    <w:basedOn w:val="1"/>
    <w:next w:val="1"/>
    <w:semiHidden/>
    <w:qFormat/>
    <w:uiPriority w:val="0"/>
  </w:style>
  <w:style w:type="paragraph" w:styleId="10">
    <w:name w:val="footer"/>
    <w:basedOn w:val="1"/>
    <w:qFormat/>
    <w:uiPriority w:val="0"/>
    <w:pPr>
      <w:tabs>
        <w:tab w:val="center" w:pos="4153"/>
        <w:tab w:val="right" w:pos="8306"/>
      </w:tabs>
    </w:pPr>
    <w:rPr>
      <w:sz w:val="18"/>
    </w:rPr>
  </w:style>
  <w:style w:type="paragraph" w:styleId="11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jc w:val="both"/>
    </w:pPr>
    <w:rPr>
      <w:sz w:val="18"/>
    </w:rPr>
  </w:style>
  <w:style w:type="paragraph" w:styleId="12">
    <w:name w:val="toc 2"/>
    <w:basedOn w:val="1"/>
    <w:next w:val="1"/>
    <w:qFormat/>
    <w:uiPriority w:val="0"/>
    <w:pPr>
      <w:ind w:left="200" w:leftChars="200"/>
    </w:pPr>
  </w:style>
  <w:style w:type="paragraph" w:styleId="13">
    <w:name w:val="Normal (Web)"/>
    <w:basedOn w:val="1"/>
    <w:qFormat/>
    <w:uiPriority w:val="0"/>
    <w:pPr>
      <w:spacing w:beforeAutospacing="1" w:afterAutospacing="1"/>
    </w:pPr>
    <w:rPr>
      <w:rFonts w:cs="Times New Roman"/>
      <w:sz w:val="24"/>
      <w:lang w:eastAsia="zh-CN"/>
    </w:rPr>
  </w:style>
  <w:style w:type="paragraph" w:styleId="14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eastAsia="仿宋"/>
      <w:b/>
      <w:bCs/>
      <w:sz w:val="48"/>
      <w:szCs w:val="32"/>
    </w:rPr>
  </w:style>
  <w:style w:type="paragraph" w:styleId="15">
    <w:name w:val="annotation subject"/>
    <w:basedOn w:val="8"/>
    <w:next w:val="8"/>
    <w:link w:val="37"/>
    <w:qFormat/>
    <w:uiPriority w:val="0"/>
    <w:rPr>
      <w:b/>
      <w:bCs/>
    </w:rPr>
  </w:style>
  <w:style w:type="table" w:styleId="17">
    <w:name w:val="Table Grid"/>
    <w:basedOn w:val="16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9">
    <w:name w:val="Strong"/>
    <w:basedOn w:val="18"/>
    <w:qFormat/>
    <w:uiPriority w:val="0"/>
    <w:rPr>
      <w:b/>
    </w:rPr>
  </w:style>
  <w:style w:type="character" w:styleId="20">
    <w:name w:val="page number"/>
    <w:basedOn w:val="18"/>
    <w:qFormat/>
    <w:uiPriority w:val="0"/>
  </w:style>
  <w:style w:type="character" w:styleId="21">
    <w:name w:val="annotation reference"/>
    <w:basedOn w:val="18"/>
    <w:qFormat/>
    <w:uiPriority w:val="0"/>
    <w:rPr>
      <w:sz w:val="18"/>
      <w:szCs w:val="18"/>
    </w:rPr>
  </w:style>
  <w:style w:type="paragraph" w:customStyle="1" w:styleId="22">
    <w:name w:val="Table Text"/>
    <w:basedOn w:val="1"/>
    <w:semiHidden/>
    <w:qFormat/>
    <w:uiPriority w:val="0"/>
    <w:rPr>
      <w:rFonts w:ascii="Microsoft JhengHei" w:hAnsi="Microsoft JhengHei" w:eastAsia="Microsoft JhengHei" w:cs="Microsoft JhengHei"/>
      <w:sz w:val="24"/>
      <w:szCs w:val="24"/>
    </w:rPr>
  </w:style>
  <w:style w:type="table" w:customStyle="1" w:styleId="23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4">
    <w:name w:val="修訂1"/>
    <w:hidden/>
    <w:unhideWhenUsed/>
    <w:qFormat/>
    <w:uiPriority w:val="99"/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paragraph" w:customStyle="1" w:styleId="25">
    <w:name w:val="修訂2"/>
    <w:hidden/>
    <w:unhideWhenUsed/>
    <w:qFormat/>
    <w:uiPriority w:val="99"/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paragraph" w:styleId="26">
    <w:name w:val="List Paragraph"/>
    <w:basedOn w:val="1"/>
    <w:unhideWhenUsed/>
    <w:qFormat/>
    <w:uiPriority w:val="99"/>
    <w:pPr>
      <w:ind w:left="480" w:leftChars="200"/>
    </w:pPr>
  </w:style>
  <w:style w:type="paragraph" w:customStyle="1" w:styleId="27">
    <w:name w:val="修訂3"/>
    <w:hidden/>
    <w:unhideWhenUsed/>
    <w:qFormat/>
    <w:uiPriority w:val="99"/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paragraph" w:customStyle="1" w:styleId="28">
    <w:name w:val="修訂4"/>
    <w:hidden/>
    <w:unhideWhenUsed/>
    <w:qFormat/>
    <w:uiPriority w:val="99"/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paragraph" w:customStyle="1" w:styleId="29">
    <w:name w:val="Style2"/>
    <w:basedOn w:val="1"/>
    <w:qFormat/>
    <w:uiPriority w:val="0"/>
    <w:pPr>
      <w:spacing w:line="260" w:lineRule="atLeast"/>
      <w:ind w:left="720" w:hanging="720"/>
    </w:pPr>
    <w:rPr>
      <w:rFonts w:cs="Times New Roman"/>
      <w:b/>
      <w:sz w:val="24"/>
      <w:szCs w:val="22"/>
    </w:rPr>
  </w:style>
  <w:style w:type="paragraph" w:customStyle="1" w:styleId="30">
    <w:name w:val="修訂5"/>
    <w:hidden/>
    <w:unhideWhenUsed/>
    <w:qFormat/>
    <w:uiPriority w:val="99"/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paragraph" w:customStyle="1" w:styleId="31">
    <w:name w:val="修订1"/>
    <w:hidden/>
    <w:unhideWhenUsed/>
    <w:qFormat/>
    <w:uiPriority w:val="99"/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character" w:customStyle="1" w:styleId="32">
    <w:name w:val="标题 1 字符"/>
    <w:basedOn w:val="18"/>
    <w:link w:val="2"/>
    <w:qFormat/>
    <w:uiPriority w:val="0"/>
    <w:rPr>
      <w:rFonts w:ascii="Arial" w:hAnsi="Arial" w:eastAsia="Arial" w:cs="Arial"/>
      <w:b/>
      <w:bCs/>
      <w:snapToGrid w:val="0"/>
      <w:color w:val="000000"/>
      <w:kern w:val="44"/>
      <w:sz w:val="44"/>
      <w:szCs w:val="44"/>
      <w:lang w:eastAsia="en-US"/>
    </w:rPr>
  </w:style>
  <w:style w:type="character" w:customStyle="1" w:styleId="33">
    <w:name w:val="标题 3 字符"/>
    <w:basedOn w:val="18"/>
    <w:link w:val="4"/>
    <w:qFormat/>
    <w:uiPriority w:val="0"/>
    <w:rPr>
      <w:rFonts w:ascii="Arial" w:hAnsi="Arial" w:eastAsia="Arial" w:cs="Arial"/>
      <w:b/>
      <w:bCs/>
      <w:snapToGrid w:val="0"/>
      <w:color w:val="000000"/>
      <w:sz w:val="32"/>
      <w:szCs w:val="32"/>
      <w:lang w:eastAsia="en-US"/>
    </w:rPr>
  </w:style>
  <w:style w:type="character" w:customStyle="1" w:styleId="34">
    <w:name w:val="标题 5 字符"/>
    <w:basedOn w:val="18"/>
    <w:link w:val="5"/>
    <w:semiHidden/>
    <w:qFormat/>
    <w:uiPriority w:val="0"/>
    <w:rPr>
      <w:rFonts w:ascii="Arial" w:hAnsi="Arial" w:eastAsia="Arial" w:cs="Arial"/>
      <w:b/>
      <w:bCs/>
      <w:snapToGrid w:val="0"/>
      <w:color w:val="000000"/>
      <w:sz w:val="28"/>
      <w:szCs w:val="28"/>
      <w:lang w:eastAsia="en-US"/>
    </w:rPr>
  </w:style>
  <w:style w:type="character" w:customStyle="1" w:styleId="35">
    <w:name w:val="标题 6 字符"/>
    <w:basedOn w:val="18"/>
    <w:link w:val="6"/>
    <w:semiHidden/>
    <w:qFormat/>
    <w:uiPriority w:val="0"/>
    <w:rPr>
      <w:rFonts w:asciiTheme="majorHAnsi" w:hAnsiTheme="majorHAnsi" w:eastAsiaTheme="majorEastAsia" w:cstheme="majorBidi"/>
      <w:b/>
      <w:bCs/>
      <w:snapToGrid w:val="0"/>
      <w:color w:val="000000"/>
      <w:sz w:val="24"/>
      <w:szCs w:val="24"/>
      <w:lang w:eastAsia="en-US"/>
    </w:rPr>
  </w:style>
  <w:style w:type="character" w:customStyle="1" w:styleId="36">
    <w:name w:val="批注文字 字符"/>
    <w:basedOn w:val="18"/>
    <w:link w:val="8"/>
    <w:qFormat/>
    <w:uiPriority w:val="0"/>
    <w:rPr>
      <w:rFonts w:ascii="Arial" w:hAnsi="Arial" w:eastAsia="Arial" w:cs="Arial"/>
      <w:snapToGrid w:val="0"/>
      <w:color w:val="000000"/>
      <w:sz w:val="21"/>
      <w:szCs w:val="21"/>
      <w:lang w:eastAsia="en-US"/>
    </w:rPr>
  </w:style>
  <w:style w:type="character" w:customStyle="1" w:styleId="37">
    <w:name w:val="批注主题 字符"/>
    <w:basedOn w:val="36"/>
    <w:link w:val="15"/>
    <w:qFormat/>
    <w:uiPriority w:val="0"/>
    <w:rPr>
      <w:rFonts w:ascii="Arial" w:hAnsi="Arial" w:eastAsia="Arial" w:cs="Arial"/>
      <w:b/>
      <w:bCs/>
      <w:snapToGrid w:val="0"/>
      <w:color w:val="000000"/>
      <w:sz w:val="21"/>
      <w:szCs w:val="21"/>
      <w:lang w:eastAsia="en-US"/>
    </w:rPr>
  </w:style>
  <w:style w:type="paragraph" w:customStyle="1" w:styleId="38">
    <w:name w:val="修订2"/>
    <w:hidden/>
    <w:unhideWhenUsed/>
    <w:qFormat/>
    <w:uiPriority w:val="99"/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paragraph" w:customStyle="1" w:styleId="39">
    <w:name w:val="修订3"/>
    <w:hidden/>
    <w:unhideWhenUsed/>
    <w:qFormat/>
    <w:uiPriority w:val="99"/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paragraph" w:customStyle="1" w:styleId="40">
    <w:name w:val="修订4"/>
    <w:hidden/>
    <w:unhideWhenUsed/>
    <w:qFormat/>
    <w:uiPriority w:val="99"/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paragraph" w:customStyle="1" w:styleId="41">
    <w:name w:val="Revision"/>
    <w:hidden/>
    <w:unhideWhenUsed/>
    <w:qFormat/>
    <w:uiPriority w:val="99"/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3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reamsoft\DSOA\wdzx97.dot" TargetMode="Externa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4877a8e7-4a01-4930-90c9-93e2e08901a7</errorID>
      <errorWord>》、《</errorWord>
      <group>L1_Punc</group>
      <groupName>标点问题</groupName>
      <ability>L2_Punc</ability>
      <abilityName>标点符号检查</abilityName>
      <candidateList>
        <item>》《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7C18CAA2</paraID>
      <start>84</start>
      <end>87</end>
      <status>ignored</status>
      <modifiedWord/>
      <trackRevisions>false</trackRevisions>
    </reviewItem>
    <reviewItem>
      <errorID>12cd9038-0f36-4f69-8cf0-b66393d7b8c1</errorID>
      <errorWord>》、《</errorWord>
      <group>L1_Punc</group>
      <groupName>标点问题</groupName>
      <ability>L2_Punc</ability>
      <abilityName>标点符号检查</abilityName>
      <candidateList>
        <item>》《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7C18CAA2</paraID>
      <start>91</start>
      <end>94</end>
      <status>ignored</status>
      <modifiedWord/>
      <trackRevisions>false</trackRevisions>
    </reviewItem>
    <reviewItem>
      <errorID>2402144f-398e-4c77-81c3-efdd4d938b3b</errorID>
      <errorWord>达</errorWord>
      <group>L1_Word</group>
      <groupName>字词问题</groupName>
      <ability>L2_Typo</ability>
      <abilityName>字词错误</abilityName>
      <candidateList>
        <item>达到</item>
      </candidateList>
      <explain>〈动〉到（多指抽象事物或程度）：达得到｜达不到｜目的没有～｜～国际水平。</explain>
      <paraID>5CE04E65</paraID>
      <start>49</start>
      <end>50</end>
      <status>unmodified</status>
      <modifiedWord/>
      <trackRevisions>false</trackRevisions>
    </reviewItem>
    <reviewItem>
      <errorID>0c6d1703-f1f5-492b-bb17-1ed81a4caa89</errorID>
      <errorWord>二次</errorWord>
      <group>L1_Word</group>
      <groupName>字词问题</groupName>
      <ability>L2_Typo</ability>
      <abilityName>字词错误</abilityName>
      <candidateList>
        <item>两次</item>
      </candidateList>
      <explain/>
      <paraID>37C8B113</paraID>
      <start>70</start>
      <end>72</end>
      <status>unmodified</status>
      <modifiedWord/>
      <trackRevisions>false</trackRevisions>
    </reviewItem>
    <reviewItem>
      <errorID>3db35062-37ca-4926-a494-1551658ac628</errorID>
      <errorWord>二名</errorWord>
      <group>L1_Word</group>
      <groupName>字词问题</groupName>
      <ability>L2_Typo</ability>
      <abilityName>字词错误</abilityName>
      <candidateList>
        <item>两名</item>
      </candidateList>
      <explain/>
      <paraID>37C8B113</paraID>
      <start>89</start>
      <end>91</end>
      <status>unmodified</status>
      <modifiedWord/>
      <trackRevisions>false</trackRevisions>
    </reviewItem>
    <reviewItem>
      <errorID>ed8a3e78-0a43-4db3-ae86-12dc0e29106e</errorID>
      <errorWord>双碳目标</errorWord>
      <group>L1_Political</group>
      <groupName>政治性问题</groupName>
      <ability>L2_Keyword</ability>
      <abilityName>固定表述</abilityName>
      <candidateList>
        <item>“双碳”目标</item>
      </candidateList>
      <explain>注意检查当前固定表述标点是否使用规范。</explain>
      <paraID> 50FC8E5</paraID>
      <start>9</start>
      <end>13</end>
      <status>unmodified</status>
      <modifiedWord/>
      <trackRevisions>false</trackRevisions>
    </reviewItem>
    <reviewItem>
      <errorID>dfec9339-1d17-4648-b62b-6b5d186b323f</errorID>
      <errorWord>法律、法规</errorWord>
      <group>L1_Word</group>
      <groupName>字词问题</groupName>
      <ability>L2_Typo</ability>
      <abilityName>字词错误</abilityName>
      <candidateList>
        <item>法律法规</item>
      </candidateList>
      <explain/>
      <paraID>1DF8CCBC</paraID>
      <start>38</start>
      <end>43</end>
      <status>unmodified</status>
      <modifiedWord/>
      <trackRevisions>false</trackRevisions>
    </reviewItem>
    <reviewItem>
      <errorID>6a60b520-f401-4309-abf6-dd137093d32a</errorID>
      <errorWord>属</errorWord>
      <group>L1_Word</group>
      <groupName>字词问题</groupName>
      <ability>L2_Typo</ability>
      <abilityName>字词错误</abilityName>
      <candidateList>
        <item>属于</item>
      </candidateList>
      <explain/>
      <paraID>1DF8CCBC</paraID>
      <start>62</start>
      <end>63</end>
      <status>unmodified</status>
      <modifiedWord/>
      <trackRevisions>false</trackRevisions>
    </reviewItem>
    <reviewItem>
      <errorID>c48bced9-531b-4374-a3f4-4bd6e33fd904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35368A21</paraID>
      <start>63</start>
      <end>64</end>
      <status>unmodified</status>
      <modifiedWord/>
      <trackRevisions>false</trackRevisions>
    </reviewItem>
    <reviewItem>
      <errorID>d9896c65-a7cd-4ff4-af5f-6e93d8404384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258884C3</paraID>
      <start>15</start>
      <end>16</end>
      <status>unmodified</status>
      <modifiedWord/>
      <trackRevisions>false</trackRevisions>
    </reviewItem>
    <reviewItem>
      <errorID>45c0b569-987b-46e5-813f-412b95328459</errorID>
      <errorWord>获</errorWord>
      <group>L1_Word</group>
      <groupName>字词问题</groupName>
      <ability>L2_Typo</ability>
      <abilityName>字词错误</abilityName>
      <candidateList>
        <item>获得</item>
      </candidateList>
      <explain>〈动〉取得；得到（多用于抽象事物）：～好评｜～宝贵的经验｜～显著的成绩。</explain>
      <paraID>42FE3CC1</paraID>
      <start>65</start>
      <end>66</end>
      <status>unmodified</status>
      <modifiedWord/>
      <trackRevisions>false</trackRevisions>
    </reviewItem>
    <reviewItem>
      <errorID>e04f90e8-7153-4414-a52a-f12a550dba40</errorID>
      <errorWord>具</errorWord>
      <group>L1_Word</group>
      <groupName>字词问题</groupName>
      <ability>L2_Typo</ability>
      <abilityName>字词错误</abilityName>
      <candidateList>
        <item>具有</item>
      </candidateList>
      <explain>〈动〉有（多用于抽象事物）：～信心｜～伟大的意义。</explain>
      <paraID>1701FFC1</paraID>
      <start>43</start>
      <end>44</end>
      <status>unmodified</status>
      <modifiedWord/>
      <trackRevisions>false</trackRevisions>
    </reviewItem>
  </reviewItems>
  <config/>
</contractReview>
</file>

<file path=customXml/item3.xml><?xml version="1.0" encoding="utf-8"?>
<b:Sources xmlns="http://schemas.openxmlformats.org/officeDocument/2006/bibliography" xmlns:b="http://schemas.openxmlformats.org/officeDocument/2006/bibliography" Version="6" SelectedStyle="/APASixthEditionOfficeOnline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ACBD45D-E2F1-48F5-B35D-F0160A8CB045}">
  <ds:schemaRefs/>
</ds:datastoreItem>
</file>

<file path=customXml/itemProps3.xml><?xml version="1.0" encoding="utf-8"?>
<ds:datastoreItem xmlns:ds="http://schemas.openxmlformats.org/officeDocument/2006/customXml" ds:itemID="{2DBA6683-4D04-3A46-9B9F-16E20471130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wdzx97.dot</Template>
  <Pages>82</Pages>
  <Words>8366</Words>
  <Characters>8642</Characters>
  <Lines>68</Lines>
  <Paragraphs>19</Paragraphs>
  <TotalTime>22</TotalTime>
  <ScaleCrop>false</ScaleCrop>
  <LinksUpToDate>false</LinksUpToDate>
  <CharactersWithSpaces>8654</CharactersWithSpaces>
  <Application>WPS Office_11.8.2.11978_F1E327BC-269C-435d-A152-05C5408002CA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2025-11-09T22:31:00Z</dcterms:created>
  <dc:creator>Donald Poon</dc:creator>
  <cp:lastModifiedBy>zwcaib</cp:lastModifiedBy>
  <cp:lastPrinted>2026-01-26T01:54:00Z</cp:lastPrinted>
  <dcterms:modified xsi:type="dcterms:W3CDTF">2026-01-29T03:46:01Z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2052-11.8.2.11978</vt:lpwstr>
  </property>
  <property fmtid="{D5CDD505-2E9C-101B-9397-08002B2CF9AE}" pid="3" name="ICV">
    <vt:lpwstr>42F327C1C7B348AA9166A6498317D55D</vt:lpwstr>
  </property>
  <property fmtid="{D5CDD505-2E9C-101B-9397-08002B2CF9AE}" pid="4" name="KSOTemplateDocerSaveRecord">
    <vt:lpwstr>eyJoZGlkIjoiMmI3MjUwZTM0OTZjNjYzYzQ2OGJhZDk2ZjEwNGQ1ODMiLCJ1c2VySWQiOiI0NTUyMTkxMzQifQ==</vt:lpwstr>
  </property>
  <property fmtid="{D5CDD505-2E9C-101B-9397-08002B2CF9AE}" pid="5" name="GrammarlyDocumentId">
    <vt:lpwstr>c2d3d8c0-84bd-49f3-b264-d0ae694c37fc</vt:lpwstr>
  </property>
</Properties>
</file>