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39" w:line="560" w:lineRule="exact"/>
        <w:ind w:left="0" w:leftChars="0" w:right="106" w:rightChars="0" w:hanging="11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bookmarkStart w:id="0" w:name="_Toc6322232"/>
      <w:bookmarkStart w:id="1" w:name="_Toc67046848"/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《横琴粤澳深度合作区城市规划和建设局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  <w:t>2026年智能网联汽车车载终端采购及安装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项目》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评分标准</w:t>
      </w:r>
    </w:p>
    <w:p>
      <w:pPr>
        <w:widowControl w:val="0"/>
        <w:ind w:firstLine="560" w:firstLineChars="200"/>
        <w:rPr>
          <w:rFonts w:hint="eastAsia"/>
          <w:lang w:val="en-US" w:eastAsia="zh-CN"/>
        </w:rPr>
      </w:pPr>
      <w:r>
        <w:rPr>
          <w:rFonts w:ascii="Calibri" w:hAnsi="Calibri" w:eastAsia="仿宋" w:cs="Times New Roman"/>
          <w:sz w:val="28"/>
          <w:szCs w:val="22"/>
        </w:rPr>
        <w:t>本项目采用综合评分法方法进行评审，具体评分细则详见综合评分表。</w:t>
      </w:r>
      <w:bookmarkEnd w:id="0"/>
      <w:bookmarkEnd w:id="1"/>
    </w:p>
    <w:tbl>
      <w:tblPr>
        <w:tblStyle w:val="7"/>
        <w:tblW w:w="901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30"/>
        <w:gridCol w:w="6150"/>
        <w:gridCol w:w="96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2" w:type="dxa"/>
            <w:gridSpan w:val="4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综合评分表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98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组成部分</w:t>
            </w:r>
          </w:p>
        </w:tc>
        <w:tc>
          <w:tcPr>
            <w:tcW w:w="6150" w:type="dxa"/>
            <w:vAlign w:val="center"/>
          </w:tcPr>
          <w:p>
            <w:pPr>
              <w:pStyle w:val="9"/>
              <w:jc w:val="left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技术部分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50分，商务部分40分，报价部分10分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100分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012" w:type="dxa"/>
            <w:gridSpan w:val="4"/>
            <w:vAlign w:val="center"/>
          </w:tcPr>
          <w:p>
            <w:pPr>
              <w:pStyle w:val="9"/>
              <w:ind w:firstLine="422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技术评分细则表（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50分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68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评分因素</w:t>
            </w:r>
          </w:p>
        </w:tc>
        <w:tc>
          <w:tcPr>
            <w:tcW w:w="6150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评分标准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668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 xml:space="preserve">项目需求的理解与分析 </w:t>
            </w:r>
          </w:p>
        </w:tc>
        <w:tc>
          <w:tcPr>
            <w:tcW w:w="6150" w:type="dxa"/>
            <w:vAlign w:val="center"/>
          </w:tcPr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根据投标人提供的项目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采购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需求的理解与分析（以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项目采购需求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为基础，需包含项目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背景、项目服务内容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等内容的理解与分析）进行综合评审：</w:t>
            </w:r>
          </w:p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分：对项目需求理解的内容完整，分析全面透彻、详细且有深度；</w:t>
            </w:r>
          </w:p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分：对项目需求理解的内容比较完整，分析比较全面详细；</w:t>
            </w:r>
          </w:p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分：对项目需求理解的内容比较笼统（涵盖部分内容），分析比较全面；</w:t>
            </w:r>
          </w:p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3分：对项目需求理解的内容比较粗略，分析比较片面； 0分：未提供本项内容。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技术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 xml:space="preserve">服务方案 </w:t>
            </w:r>
          </w:p>
        </w:tc>
        <w:tc>
          <w:tcPr>
            <w:tcW w:w="6150" w:type="dxa"/>
            <w:vAlign w:val="center"/>
          </w:tcPr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根据投标人提供的项目服务方案（需包含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“项目服务要求”、“技术及性能要求”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等内容）进行综合评审：</w:t>
            </w:r>
          </w:p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20分：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技术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服务方案内容详细、具体，可行性、操作性强；</w:t>
            </w:r>
          </w:p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分：项目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技术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服务方案内容比较详细，具有可行性、操作性；</w:t>
            </w:r>
          </w:p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分：项目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技术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服务方案内容比较笼统（涵盖部分内容），具有一定的可行性、操作性；</w:t>
            </w:r>
          </w:p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分：项目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技术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服务方案内容比较粗略松散，缺乏可行性、操作性；</w:t>
            </w:r>
          </w:p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0分：未提供本项内容。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 xml:space="preserve">项目实施质量保障方案 </w:t>
            </w:r>
          </w:p>
        </w:tc>
        <w:tc>
          <w:tcPr>
            <w:tcW w:w="6150" w:type="dxa"/>
            <w:vAlign w:val="center"/>
          </w:tcPr>
          <w:p>
            <w:pPr>
              <w:pStyle w:val="9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根据投标人提供的项目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实施质量保障</w:t>
            </w:r>
            <w:r>
              <w:rPr>
                <w:sz w:val="21"/>
                <w:szCs w:val="21"/>
                <w:highlight w:val="none"/>
              </w:rPr>
              <w:t>方案（需包含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Arial" w:hAnsi="Arial" w:cs="Arial"/>
                <w:sz w:val="21"/>
                <w:szCs w:val="21"/>
              </w:rPr>
              <w:t>项目实施与管理要求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”中的项目团队、实施计划、文档交付及培训</w:t>
            </w:r>
            <w:r>
              <w:rPr>
                <w:sz w:val="21"/>
                <w:szCs w:val="21"/>
                <w:highlight w:val="none"/>
              </w:rPr>
              <w:t xml:space="preserve">等相关的内容）进行综合评审： </w:t>
            </w:r>
          </w:p>
          <w:p>
            <w:pPr>
              <w:pStyle w:val="9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sz w:val="21"/>
                <w:szCs w:val="21"/>
                <w:highlight w:val="none"/>
              </w:rPr>
              <w:t>分：项目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实施质量保障</w:t>
            </w:r>
            <w:r>
              <w:rPr>
                <w:sz w:val="21"/>
                <w:szCs w:val="21"/>
                <w:highlight w:val="none"/>
              </w:rPr>
              <w:t>方案周密健全完善，各项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措施</w:t>
            </w:r>
            <w:r>
              <w:rPr>
                <w:sz w:val="21"/>
                <w:szCs w:val="21"/>
                <w:highlight w:val="none"/>
              </w:rPr>
              <w:t xml:space="preserve">标准科学严谨规范，可行性、操作性强； </w:t>
            </w:r>
          </w:p>
          <w:p>
            <w:pPr>
              <w:pStyle w:val="9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sz w:val="21"/>
                <w:szCs w:val="21"/>
                <w:highlight w:val="none"/>
              </w:rPr>
              <w:t>分：项目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实施质量保障</w:t>
            </w:r>
            <w:r>
              <w:rPr>
                <w:sz w:val="21"/>
                <w:szCs w:val="21"/>
                <w:highlight w:val="none"/>
              </w:rPr>
              <w:t>方案完善，各项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措施</w:t>
            </w:r>
            <w:r>
              <w:rPr>
                <w:sz w:val="21"/>
                <w:szCs w:val="21"/>
                <w:highlight w:val="none"/>
              </w:rPr>
              <w:t xml:space="preserve">比较规范，具有可行性、操作性； </w:t>
            </w:r>
          </w:p>
          <w:p>
            <w:pPr>
              <w:pStyle w:val="9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sz w:val="21"/>
                <w:szCs w:val="21"/>
                <w:highlight w:val="none"/>
              </w:rPr>
              <w:t>分：项目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实施质量保障</w:t>
            </w:r>
            <w:r>
              <w:rPr>
                <w:sz w:val="21"/>
                <w:szCs w:val="21"/>
                <w:highlight w:val="none"/>
              </w:rPr>
              <w:t>方案比较完整，各项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措施</w:t>
            </w:r>
            <w:r>
              <w:rPr>
                <w:sz w:val="21"/>
                <w:szCs w:val="21"/>
                <w:highlight w:val="none"/>
              </w:rPr>
              <w:t>基本规范，具有一定的可行性</w:t>
            </w:r>
            <w:bookmarkStart w:id="2" w:name="_GoBack"/>
            <w:bookmarkEnd w:id="2"/>
            <w:r>
              <w:rPr>
                <w:sz w:val="21"/>
                <w:szCs w:val="21"/>
                <w:highlight w:val="none"/>
              </w:rPr>
              <w:t xml:space="preserve">、操作性； </w:t>
            </w:r>
          </w:p>
          <w:p>
            <w:pPr>
              <w:pStyle w:val="9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sz w:val="21"/>
                <w:szCs w:val="21"/>
                <w:highlight w:val="none"/>
              </w:rPr>
              <w:t>分：项目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实施质量保障</w:t>
            </w:r>
            <w:r>
              <w:rPr>
                <w:sz w:val="21"/>
                <w:szCs w:val="21"/>
                <w:highlight w:val="none"/>
              </w:rPr>
              <w:t>方案粗略，各项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措施</w:t>
            </w:r>
            <w:r>
              <w:rPr>
                <w:sz w:val="21"/>
                <w:szCs w:val="21"/>
                <w:highlight w:val="none"/>
              </w:rPr>
              <w:t xml:space="preserve">缺乏规范性、可行性、操作性； </w:t>
            </w:r>
          </w:p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0分：未提供本项内容。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012" w:type="dxa"/>
            <w:gridSpan w:val="4"/>
            <w:vAlign w:val="center"/>
          </w:tcPr>
          <w:p>
            <w:pPr>
              <w:pStyle w:val="9"/>
              <w:ind w:firstLine="422" w:firstLineChars="200"/>
              <w:jc w:val="left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商务评分细则表（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40分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68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评分因素</w:t>
            </w:r>
          </w:p>
        </w:tc>
        <w:tc>
          <w:tcPr>
            <w:tcW w:w="615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评分标准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668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 xml:space="preserve">相关业绩 </w:t>
            </w:r>
          </w:p>
        </w:tc>
        <w:tc>
          <w:tcPr>
            <w:tcW w:w="6150" w:type="dxa"/>
            <w:vAlign w:val="center"/>
          </w:tcPr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>根据投标人自202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年1月1日以来（以合同签订时间为准）同类合同业绩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【同类业绩指合同内容中包含具备交通类（包括但不限于应用在船只、汽车、飞机等交通工具上的终端设备）车载终端相关产品的产品供货，或者技术开发，或者生产制造，或者系统集成，或者技术服务相关的内容】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的情况进行评分，每个有效业绩得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分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，本项满分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分。</w:t>
            </w:r>
          </w:p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>注：投标文件中须提供项目合同全件复印件，或者合同关键页复印件（合同关键页应当体现合同当事人名称（甲乙双方任意一方名称应当与投标人一致）、合同内容、合同签章处及合同签订时间等关键信息）以上复印件均需加盖投标人公章，未提供或提供的资料不符合要求的则不得分。合同体现签订日期的，以合同签订日期为准；合同未体现签订日期的，但是合同履行期限能明显判断在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年1月1日或之后开始实施的，该合同应予以认可。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>售后服务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承诺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6150" w:type="dxa"/>
            <w:vAlign w:val="center"/>
          </w:tcPr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>根据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投标人提供的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的售后服务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承诺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（响应时间、人员调度和售后承诺等）进行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综合评审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：</w:t>
            </w:r>
          </w:p>
          <w:p>
            <w:pPr>
              <w:pStyle w:val="9"/>
              <w:numPr>
                <w:ilvl w:val="0"/>
                <w:numId w:val="0"/>
              </w:numPr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15分：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方案完整，详细、合理，承诺2小时内做出响应、4小时内派员到采购人所在地，完全满足且优于项目需求的；</w:t>
            </w:r>
          </w:p>
          <w:p>
            <w:pPr>
              <w:pStyle w:val="9"/>
              <w:numPr>
                <w:ilvl w:val="0"/>
                <w:numId w:val="0"/>
              </w:numPr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10分：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方案完整，较详细、较合理，承诺4小时内做出响应、8小时内派员到采购人所在地，完全满足项目需求的；</w:t>
            </w:r>
          </w:p>
          <w:p>
            <w:pPr>
              <w:pStyle w:val="9"/>
              <w:numPr>
                <w:ilvl w:val="0"/>
                <w:numId w:val="0"/>
              </w:numPr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5分：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方案不完整，较简单，承诺4小时内做出响应、8小时内派员到采购人所在地，不完全满足项目需求；</w:t>
            </w:r>
          </w:p>
          <w:p>
            <w:pPr>
              <w:pStyle w:val="9"/>
              <w:numPr>
                <w:ilvl w:val="0"/>
                <w:numId w:val="0"/>
              </w:numPr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0分：</w:t>
            </w:r>
            <w:r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  <w:t>未提供本项内容。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 xml:space="preserve">诚信记录 </w:t>
            </w:r>
          </w:p>
        </w:tc>
        <w:tc>
          <w:tcPr>
            <w:tcW w:w="6150" w:type="dxa"/>
            <w:vAlign w:val="center"/>
          </w:tcPr>
          <w:p>
            <w:pPr>
              <w:pStyle w:val="9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>根据《关于加强珠海市政府采购供应商诚信管理有关事项的通知》（珠财采通（2022） 20 号）要求，对供应商的诚信状况（普通失信行为）进行评分，具体计算公式如下： 诚信记录评审得分=供应商上一年度诚信记录得分×5%。 注： 1.采购代理机构于投标截止时间后，在评审活动开始前，通过广东政府采购网“其他监管检查公告”栏和珠海市财政局网站“信用财政”栏查询投标（响应）供应商的诚信状况（即供应商上一年度的诚信记录得分），提供给评标委员会，由评标委员会根据上述公式进行评审打分。 2.首次参加珠海市政府采购活动的供应商诚信管理基础得分为100分，在广东政府采购网“其他监管检查公告”栏和珠海市财政局网站“信用财政”栏查询不到相关供应商扣分记录的，视为该供应商上一年度诚信记录得分为100分。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12" w:type="dxa"/>
            <w:gridSpan w:val="4"/>
            <w:vAlign w:val="center"/>
          </w:tcPr>
          <w:p>
            <w:pPr>
              <w:pStyle w:val="9"/>
              <w:ind w:firstLine="422" w:firstLineChars="200"/>
              <w:jc w:val="left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报价评分细则表（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8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评分因素</w:t>
            </w:r>
          </w:p>
        </w:tc>
        <w:tc>
          <w:tcPr>
            <w:tcW w:w="615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评分标准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68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 xml:space="preserve">投标报价得分 </w:t>
            </w:r>
          </w:p>
        </w:tc>
        <w:tc>
          <w:tcPr>
            <w:tcW w:w="6150" w:type="dxa"/>
            <w:vAlign w:val="center"/>
          </w:tcPr>
          <w:p>
            <w:pPr>
              <w:pStyle w:val="9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>投标报价得分＝（评标基准价/投标报价）×价格分值【注：满足招标文件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10分</w:t>
            </w:r>
          </w:p>
        </w:tc>
      </w:tr>
    </w:tbl>
    <w:p>
      <w:pPr>
        <w:rPr>
          <w:rFonts w:hint="eastAsia" w:asciiTheme="minorEastAsia" w:hAnsiTheme="minorEastAsia" w:cstheme="minorEastAsia"/>
          <w:szCs w:val="21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3411"/>
    <w:rsid w:val="0B971E80"/>
    <w:rsid w:val="10D140D9"/>
    <w:rsid w:val="11E217E0"/>
    <w:rsid w:val="12C11027"/>
    <w:rsid w:val="1AA5544C"/>
    <w:rsid w:val="1DED1574"/>
    <w:rsid w:val="1EE41614"/>
    <w:rsid w:val="20CB104F"/>
    <w:rsid w:val="24EA3E07"/>
    <w:rsid w:val="2D337167"/>
    <w:rsid w:val="2F303DB4"/>
    <w:rsid w:val="3A9E1B37"/>
    <w:rsid w:val="42CB1A03"/>
    <w:rsid w:val="43AF6122"/>
    <w:rsid w:val="44C90865"/>
    <w:rsid w:val="50D47D32"/>
    <w:rsid w:val="53556200"/>
    <w:rsid w:val="53796C23"/>
    <w:rsid w:val="5B503CCD"/>
    <w:rsid w:val="645772E9"/>
    <w:rsid w:val="66953493"/>
    <w:rsid w:val="7C642344"/>
    <w:rsid w:val="7EEA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" w:hAnsi="仿宋" w:eastAsia="仿宋"/>
      <w:b/>
      <w:kern w:val="44"/>
      <w:sz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cs="仿宋" w:asciiTheme="minorAscii" w:hAnsiTheme="minorAscii" w:eastAsiaTheme="minorEastAsia"/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napToGrid/>
      <w:spacing w:after="120" w:line="240" w:lineRule="auto"/>
      <w:ind w:left="420" w:leftChars="200"/>
    </w:pPr>
  </w:style>
  <w:style w:type="paragraph" w:styleId="3">
    <w:name w:val="Body Text Indent"/>
    <w:basedOn w:val="1"/>
    <w:next w:val="1"/>
    <w:qFormat/>
    <w:uiPriority w:val="0"/>
    <w:pPr>
      <w:adjustRightInd w:val="0"/>
      <w:snapToGrid w:val="0"/>
      <w:ind w:firstLine="420" w:firstLineChars="200"/>
    </w:pPr>
  </w:style>
  <w:style w:type="paragraph" w:styleId="6">
    <w:name w:val="annotation text"/>
    <w:basedOn w:val="1"/>
    <w:uiPriority w:val="0"/>
    <w:pPr>
      <w:jc w:val="left"/>
    </w:p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1743</Words>
  <Characters>1806</Characters>
  <Lines>0</Lines>
  <Paragraphs>0</Paragraphs>
  <TotalTime>1</TotalTime>
  <ScaleCrop>false</ScaleCrop>
  <LinksUpToDate>false</LinksUpToDate>
  <CharactersWithSpaces>1837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2022-11-15T07:26:00Z</dcterms:created>
  <dc:creator>fangjiaqin</dc:creator>
  <cp:lastModifiedBy>何幸容</cp:lastModifiedBy>
  <dcterms:modified xsi:type="dcterms:W3CDTF">2026-03-18T03:14:10Z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D98F558A63BC4F85B03E6D41FBAC2511</vt:lpwstr>
  </property>
  <property fmtid="{D5CDD505-2E9C-101B-9397-08002B2CF9AE}" pid="4" name="KSOTemplateDocerSaveRecord">
    <vt:lpwstr>eyJoZGlkIjoiMmM0YTE2NzFkYWFlNTI1YjZjMTI2NDNjNGY0M2UyNzMiLCJ1c2VySWQiOiIzNDQzNjYxMDUifQ==</vt:lpwstr>
  </property>
</Properties>
</file>