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90"/>
        </w:tabs>
        <w:spacing w:line="560" w:lineRule="exact"/>
        <w:ind w:firstLine="0" w:firstLineChars="0"/>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bookmarkStart w:id="52" w:name="_GoBack"/>
      <w:bookmarkEnd w:id="52"/>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横琴粤澳深度合作区202</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5</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年度</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进一步</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促进</w:t>
      </w:r>
    </w:p>
    <w:p>
      <w:pPr>
        <w:spacing w:line="560" w:lineRule="exact"/>
        <w:ind w:firstLine="0" w:firstLineChars="0"/>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集成电路产业发展资金申报指南</w:t>
      </w:r>
    </w:p>
    <w:p>
      <w:pPr>
        <w:spacing w:line="560" w:lineRule="exact"/>
        <w:ind w:firstLine="880" w:firstLineChars="20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pStyle w:val="30"/>
        <w:spacing w:line="560" w:lineRule="exact"/>
        <w:ind w:firstLine="0"/>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一、申报主体资格</w:t>
      </w:r>
    </w:p>
    <w:p>
      <w:pPr>
        <w:spacing w:line="560" w:lineRule="exact"/>
        <w:ind w:firstLine="640"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（一）具有独立法人资格，具备规范的财务管理制度，在横琴粤澳深度合作区（以下简称“合作区”）实质性运营，主营业务符合《适用主营业务目录》（见附件）的企业（以下简称“集成电路企业”）。</w:t>
      </w:r>
    </w:p>
    <w:p>
      <w:pPr>
        <w:pStyle w:val="14"/>
        <w:widowControl/>
        <w:tabs>
          <w:tab w:val="left" w:pos="8086"/>
        </w:tabs>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实质性运营：满足《关于横琴粤澳深度合作区符合条件的产业企业实质性运营有关问题的公告》（http://www.hengqin.gov.cn/macao_zh_hans/zwgk/tzgg/gg/content/post_3486201.html）的相关规定。</w:t>
      </w:r>
    </w:p>
    <w:p>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（二）提供集成电路产业服务的企业、机构及组织。</w:t>
      </w:r>
    </w:p>
    <w:p>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（三）在合作区开展研究和成果转化的科研机构（以下简称“科研机构”）。</w:t>
      </w:r>
    </w:p>
    <w:p>
      <w:pPr>
        <w:pStyle w:val="30"/>
        <w:spacing w:line="560" w:lineRule="exact"/>
        <w:ind w:firstLine="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申请2025年资助奖补的企业、机构及组织(包括现有及新注册的)须按第3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2025号经济发展局规范性文件《横琴粤澳深度合作区进一步促进集成电路产业发展若干措施实施细则》第四条奖补登记要求，通过横琴粤澳深度合作区惠企利民服务平台(https://ycfz.henggin.gov.cn )进行奖补登记。</w:t>
      </w:r>
    </w:p>
    <w:p>
      <w:pPr>
        <w:pStyle w:val="30"/>
        <w:spacing w:line="560" w:lineRule="exact"/>
        <w:ind w:firstLine="0"/>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二、相关申报材料释义</w:t>
      </w:r>
    </w:p>
    <w:p>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为适用本申报指南的规定，下列申报材料用词的释义为：</w:t>
      </w:r>
    </w:p>
    <w:p>
      <w:pPr>
        <w:pStyle w:val="30"/>
        <w:numPr>
          <w:ilvl w:val="0"/>
          <w:numId w:val="0"/>
        </w:numP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身份证明</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个人身份证明（内地居民请提交身份证；港澳居民请提交港澳居民来往内地通行证；台湾居民请提交台湾居民来往大陆通行证；外籍人士请提交外国护照和公安机关核发的居留许可证件）。</w:t>
      </w:r>
    </w:p>
    <w:p>
      <w:pPr>
        <w:pStyle w:val="30"/>
        <w:numPr>
          <w:ilvl w:val="0"/>
          <w:numId w:val="0"/>
        </w:numP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学历学位证明：具体包括《教育部学籍在线验证报告》、《教育部学历证书电子注册备案表》（以上选其一）、毕业证书、学位证书、国（境）外毕业的需提供国（境）外学历学位证书。</w:t>
      </w:r>
    </w:p>
    <w:p>
      <w:pPr>
        <w:pStyle w:val="30"/>
        <w:numPr>
          <w:ilvl w:val="0"/>
          <w:numId w:val="0"/>
        </w:numP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审计报告：年度审计报告及专项审计报告具体材料需包括正文、附注等完整版。</w:t>
      </w:r>
    </w:p>
    <w:p>
      <w:pPr>
        <w:pStyle w:val="30"/>
        <w:spacing w:line="560" w:lineRule="exact"/>
        <w:ind w:firstLine="0"/>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基本</w:t>
      </w:r>
      <w:r>
        <w:rPr>
          <w:rFonts w:hint="default" w:ascii="Times New Roman" w:hAnsi="Times New Roman" w:eastAsia="黑体" w:cs="Times New Roman"/>
          <w:color w:val="000000" w:themeColor="text1"/>
          <w:sz w:val="32"/>
          <w:szCs w:val="32"/>
          <w:highlight w:val="none"/>
          <w14:textFill>
            <w14:solidFill>
              <w14:schemeClr w14:val="tx1"/>
            </w14:solidFill>
          </w14:textFill>
        </w:rPr>
        <w:t>申报材料</w:t>
      </w:r>
    </w:p>
    <w:p>
      <w:pPr>
        <w:pStyle w:val="30"/>
        <w:numPr>
          <w:ilvl w:val="-1"/>
          <w:numId w:val="0"/>
        </w:numPr>
        <w:spacing w:line="560" w:lineRule="exact"/>
        <w:ind w:firstLine="643" w:firstLineChars="200"/>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申报单位主体资格证明</w:t>
      </w: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材料</w:t>
      </w:r>
    </w:p>
    <w:p>
      <w:pPr>
        <w:pStyle w:val="30"/>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统一社会信用代码证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0"/>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0"/>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年所得税纳税申报表主表及附表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0"/>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年完税证明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0"/>
        <w:numPr>
          <w:ilvl w:val="0"/>
          <w:numId w:val="0"/>
        </w:numPr>
        <w:spacing w:line="560" w:lineRule="exact"/>
        <w:ind w:firstLine="640" w:firstLineChars="200"/>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年研发活动证明文件（包括但不限于购买EDA、IP、研发费专项审计报告等第三方出具的专业独立证明材料）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pStyle w:val="30"/>
        <w:numPr>
          <w:ilvl w:val="-1"/>
          <w:numId w:val="0"/>
        </w:numPr>
        <w:spacing w:line="560" w:lineRule="exact"/>
        <w:ind w:firstLine="643"/>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申请奖补基本要求材料</w:t>
      </w:r>
    </w:p>
    <w:p>
      <w:pPr>
        <w:pStyle w:val="30"/>
        <w:numPr>
          <w:ilvl w:val="-1"/>
          <w:numId w:val="0"/>
        </w:numPr>
        <w:shd w:val="clear" w:fill="FFFFFF" w:themeFill="background1"/>
        <w:spacing w:line="560" w:lineRule="exact"/>
        <w:ind w:firstLine="640" w:firstLineChars="200"/>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《产业化投入、实地研发人员和申报金额汇总表》</w:t>
      </w:r>
    </w:p>
    <w:p>
      <w:pPr>
        <w:pStyle w:val="30"/>
        <w:numPr>
          <w:ilvl w:val="-1"/>
          <w:numId w:val="0"/>
        </w:numPr>
        <w:shd w:val="clear" w:fill="FFFFFF" w:themeFill="background1"/>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申报单位自其在合作区设立（包括新成立或迁入）之日起至2025年12月31日止，在合作区的累计产业化投入（不含地价）专项审计报告。（备注1.以企业实际产业化投入的不含税原值为准。2.地价包含为基准地价、标定地价、出让地价、区片综合地价、土地使用权出让金、出让地价等。）</w:t>
      </w:r>
    </w:p>
    <w:p>
      <w:pPr>
        <w:pStyle w:val="30"/>
        <w:numPr>
          <w:ilvl w:val="-1"/>
          <w:numId w:val="0"/>
        </w:numPr>
        <w:shd w:val="clear" w:fill="FFFFFF" w:themeFill="background1"/>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需同时提供以下相关佐证材料：</w:t>
      </w:r>
    </w:p>
    <w:p>
      <w:pPr>
        <w:pStyle w:val="30"/>
        <w:numPr>
          <w:ilvl w:val="-1"/>
          <w:numId w:val="0"/>
        </w:numPr>
        <w:shd w:val="clear" w:fill="FFFFFF" w:themeFill="background1"/>
        <w:spacing w:line="560" w:lineRule="exact"/>
        <w:ind w:firstLine="688" w:firstLineChars="200"/>
        <w:rPr>
          <w:rFonts w:hint="default" w:ascii="Times New Roman" w:hAnsi="Times New Roman" w:eastAsia="仿宋_GB2312" w:cs="Times New Roman"/>
          <w:color w:val="000000" w:themeColor="text1"/>
          <w:spacing w:val="12"/>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（1）固定资产权属证明与入账资料：购置合同</w:t>
      </w:r>
      <w:r>
        <w:rPr>
          <w:rFonts w:hint="default" w:ascii="Times New Roman" w:hAnsi="Times New Roman" w:eastAsia="仿宋_GB2312" w:cs="Times New Roman"/>
          <w:color w:val="000000" w:themeColor="text1"/>
          <w:spacing w:val="12"/>
          <w:sz w:val="32"/>
          <w:szCs w:val="32"/>
          <w:highlight w:val="none"/>
          <w:lang w:val="en-US" w:eastAsia="zh-CN"/>
          <w14:textFill>
            <w14:solidFill>
              <w14:schemeClr w14:val="tx1"/>
            </w14:solidFill>
          </w14:textFill>
        </w:rPr>
        <w:t>、对应发票、验收单、入库单、固定资产折旧表、资产台账；</w:t>
      </w:r>
    </w:p>
    <w:p>
      <w:pPr>
        <w:pStyle w:val="30"/>
        <w:numPr>
          <w:ilvl w:val="-1"/>
          <w:numId w:val="0"/>
        </w:numPr>
        <w:shd w:val="clear" w:fill="FFFFFF" w:themeFill="background1"/>
        <w:spacing w:line="560" w:lineRule="exact"/>
        <w:ind w:firstLine="688" w:firstLineChars="200"/>
        <w:rPr>
          <w:rFonts w:hint="default" w:ascii="Times New Roman" w:hAnsi="Times New Roman" w:eastAsia="仿宋_GB2312" w:cs="Times New Roman"/>
          <w:color w:val="000000" w:themeColor="text1"/>
          <w:spacing w:val="12"/>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2"/>
          <w:sz w:val="32"/>
          <w:szCs w:val="32"/>
          <w:highlight w:val="none"/>
          <w:lang w:val="en-US" w:eastAsia="zh-CN"/>
          <w14:textFill>
            <w14:solidFill>
              <w14:schemeClr w14:val="tx1"/>
            </w14:solidFill>
          </w14:textFill>
        </w:rPr>
        <w:t>购置设备的费用的交易凭证：合同、对应发票、付款凭证、验收单、权属证明；</w:t>
      </w:r>
    </w:p>
    <w:p>
      <w:pPr>
        <w:pStyle w:val="30"/>
        <w:numPr>
          <w:ilvl w:val="-1"/>
          <w:numId w:val="0"/>
        </w:numPr>
        <w:shd w:val="clear" w:fill="FFFFFF" w:themeFill="background1"/>
        <w:spacing w:line="560" w:lineRule="exact"/>
        <w:ind w:firstLine="688" w:firstLineChars="200"/>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（3）购置合作区楼宇的产权证明、交易资料、付款凭证；</w:t>
      </w:r>
    </w:p>
    <w:p>
      <w:pPr>
        <w:pStyle w:val="30"/>
        <w:numPr>
          <w:ilvl w:val="-1"/>
          <w:numId w:val="0"/>
        </w:numPr>
        <w:shd w:val="clear" w:fill="FFFFFF" w:themeFill="background1"/>
        <w:spacing w:line="560" w:lineRule="exact"/>
        <w:ind w:firstLine="688"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pacing w:val="12"/>
          <w:sz w:val="32"/>
          <w:szCs w:val="32"/>
          <w14:textFill>
            <w14:solidFill>
              <w14:schemeClr w14:val="tx1"/>
            </w14:solidFill>
          </w14:textFill>
        </w:rPr>
        <w:t>合作区办公、研发场地的装修</w:t>
      </w:r>
      <w:r>
        <w:rPr>
          <w:rFonts w:hint="default"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及改造费用的工程资料、付款凭证、结算资料和合作区办公、研发场地的权属证明或租赁合同等。</w:t>
      </w:r>
    </w:p>
    <w:p>
      <w:pPr>
        <w:pStyle w:val="30"/>
        <w:numPr>
          <w:ilvl w:val="-1"/>
          <w:numId w:val="0"/>
        </w:numPr>
        <w:shd w:val="clear" w:fill="FFFFFF" w:themeFill="background1"/>
        <w:spacing w:line="56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产业化投入、实地研发人员和申报金额汇总表》表3中所列人员身份证明或护照扫描件、劳动合同（或广东省/珠海市人力资源和社会保障网上服务平台打印的《就业登记信息》）等佐证材料；退休返聘、外籍或港澳台员工佐证材料；岗位证明、学历学位证明及专业证明；2025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2025年12月31日实地办公证明（出勤记录或其他）；2025年1月1日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2025年12月31日个人社保</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个人所得税纳税记录。</w:t>
      </w:r>
    </w:p>
    <w:p>
      <w:pPr>
        <w:pStyle w:val="30"/>
        <w:numPr>
          <w:ilvl w:val="-1"/>
          <w:numId w:val="0"/>
        </w:numPr>
        <w:shd w:val="clear" w:fill="auto"/>
        <w:spacing w:line="56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认为有必要提供的材料。</w:t>
      </w:r>
    </w:p>
    <w:p>
      <w:pPr>
        <w:pStyle w:val="30"/>
        <w:numPr>
          <w:ilvl w:val="-1"/>
          <w:numId w:val="0"/>
        </w:numPr>
        <w:spacing w:line="560" w:lineRule="exact"/>
        <w:ind w:firstLine="643" w:firstLineChars="200"/>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申报单位实质性运营证明</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详见《实质性运营证明资料清单》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附件2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0"/>
        <w:spacing w:line="560" w:lineRule="exact"/>
        <w:ind w:firstLine="0"/>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专题奖项</w:t>
      </w:r>
      <w:r>
        <w:rPr>
          <w:rFonts w:hint="default" w:ascii="Times New Roman" w:hAnsi="Times New Roman" w:eastAsia="黑体" w:cs="Times New Roman"/>
          <w:color w:val="000000" w:themeColor="text1"/>
          <w:sz w:val="32"/>
          <w:szCs w:val="32"/>
          <w:highlight w:val="none"/>
          <w14:textFill>
            <w14:solidFill>
              <w14:schemeClr w14:val="tx1"/>
            </w14:solidFill>
          </w14:textFill>
        </w:rPr>
        <w:t>申报</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条件</w:t>
      </w:r>
      <w:r>
        <w:rPr>
          <w:rFonts w:hint="default" w:ascii="Times New Roman" w:hAnsi="Times New Roman" w:eastAsia="黑体" w:cs="Times New Roman"/>
          <w:color w:val="000000" w:themeColor="text1"/>
          <w:sz w:val="32"/>
          <w:szCs w:val="32"/>
          <w:highlight w:val="none"/>
          <w14:textFill>
            <w14:solidFill>
              <w14:schemeClr w14:val="tx1"/>
            </w14:solidFill>
          </w14:textFill>
        </w:rPr>
        <w:t>和材料</w:t>
      </w:r>
    </w:p>
    <w:p>
      <w:pPr>
        <w:pStyle w:val="6"/>
        <w:ind w:firstLine="643"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（一）</w:t>
      </w:r>
      <w:r>
        <w:rPr>
          <w:rFonts w:hint="default" w:ascii="Times New Roman" w:hAnsi="Times New Roman" w:eastAsia="楷体_GB2312" w:cs="Times New Roman"/>
          <w:color w:val="000000" w:themeColor="text1"/>
          <w:lang w:val="en-US" w:eastAsia="zh-CN"/>
          <w14:textFill>
            <w14:solidFill>
              <w14:schemeClr w14:val="tx1"/>
            </w14:solidFill>
          </w14:textFill>
        </w:rPr>
        <w:t>新增实缴资本奖励</w:t>
      </w:r>
      <w:r>
        <w:rPr>
          <w:rFonts w:hint="default" w:ascii="Times New Roman" w:hAnsi="Times New Roman" w:eastAsia="楷体_GB2312" w:cs="Times New Roman"/>
          <w:color w:val="000000" w:themeColor="text1"/>
          <w14:textFill>
            <w14:solidFill>
              <w14:schemeClr w14:val="tx1"/>
            </w14:solidFill>
          </w14:textFill>
        </w:rPr>
        <w:t>（专题1）</w:t>
      </w:r>
    </w:p>
    <w:p>
      <w:pPr>
        <w:pStyle w:val="13"/>
        <w:spacing w:line="560" w:lineRule="exact"/>
        <w:ind w:left="0" w:leftChars="0"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w:t>
      </w:r>
    </w:p>
    <w:p>
      <w:pPr>
        <w:pStyle w:val="13"/>
        <w:spacing w:line="560" w:lineRule="exact"/>
        <w:ind w:left="0" w:leftChars="0"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（1）近</w:t>
      </w:r>
      <w:r>
        <w:rPr>
          <w:rFonts w:hint="default" w:ascii="Times New Roman" w:hAnsi="Times New Roman" w:eastAsia="仿宋_GB2312" w:cs="Times New Roman"/>
          <w:color w:val="000000" w:themeColor="text1"/>
          <w:sz w:val="32"/>
          <w:szCs w:val="32"/>
          <w:highlight w:val="none"/>
          <w:lang w:eastAsia="zh-TW"/>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年12月31日）累计获得专业投资机构投资不低于1000万元。</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“专业投资机构”是指近五年（202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年12月31日）入选“投中网投中榜”或“清科集团年度排名榜单”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或“母基金周刊（FOFWEEKLY）年度排行榜”或“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36氪中国股权投资机构年度名册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获得IC风云榜投资机构奖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的机构投资者、集成电路上市公司、各级政府投资基金以及合作区在中国证券投资基金业协会备案的澳资私募基金（澳门居民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或者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在澳门依法设立的法人持股比例合计须不低于25%）。</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上市公司是指在境内外证券交易所包括境内证券交易所（上海证券交易所、深圳证券交易所、北京证券交易所）、境外主流证券交易所（香港联合交易所、纽约证券交易所、纳斯达克证券交易所、伦敦证券交易所等）上市的集成电路公司。</w:t>
      </w:r>
    </w:p>
    <w:p>
      <w:pPr>
        <w:numPr>
          <w:ilvl w:val="0"/>
          <w:numId w:val="1"/>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自202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年12月31日，申报单位以货币方式实缴出资不低于1000万元（以银行到账金额及时间为准，不含以资本公积转增的形式）。</w:t>
      </w:r>
    </w:p>
    <w:p>
      <w:pPr>
        <w:numPr>
          <w:ilvl w:val="0"/>
          <w:numId w:val="1"/>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实缴资本（含认缴时间）、股权投资协议签署时间应在2025年1月1日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13"/>
        <w:spacing w:line="560" w:lineRule="exact"/>
        <w:ind w:left="0" w:leftChars="0"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第三方出具的专业独立证明材料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highlight w:val="yellow"/>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）投资机构属于“专业投资机构”的证明、企业与投资机构签订的投资协议、融资资金到账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Style w:val="18"/>
          <w:rFonts w:hint="default" w:ascii="Times New Roman" w:hAnsi="Times New Roman" w:eastAsia="仿宋_GB2312" w:cs="Times New Roman"/>
          <w:color w:val="000000" w:themeColor="text1"/>
          <w:sz w:val="32"/>
          <w:szCs w:val="32"/>
          <w:highlight w:val="none"/>
          <w14:textFill>
            <w14:solidFill>
              <w14:schemeClr w14:val="tx1"/>
            </w14:solidFill>
          </w14:textFill>
        </w:rPr>
        <w:t>银行回单</w:t>
      </w:r>
      <w:r>
        <w:rPr>
          <w:rStyle w:val="18"/>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Style w:val="18"/>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注明出资用途</w:t>
      </w:r>
      <w:r>
        <w:rPr>
          <w:rStyle w:val="18"/>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）由具有资质的第三方机构对实缴资本出具的验资报告。</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（6）《申报承诺函》。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pStyle w:val="3"/>
        <w:spacing w:line="560" w:lineRule="exact"/>
        <w:ind w:firstLine="640" w:firstLineChars="200"/>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对符合条件的企业，按其自202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年12月31日，以货币方式实缴出资（以银行到账金额及时间为准，不含以资本公积转增的形式）的10%给予一次性最高 500万元奖励。每家企业在政策有效期内仅可申请一次，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年已获得实缴资本奖励的企业不得再次申请202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年度奖励。</w:t>
      </w:r>
    </w:p>
    <w:p>
      <w:pPr>
        <w:pStyle w:val="6"/>
        <w:ind w:firstLine="643" w:firstLineChars="200"/>
        <w:rPr>
          <w:rFonts w:hint="default" w:ascii="Times New Roman" w:hAnsi="Times New Roman" w:eastAsia="楷体_GB2312" w:cs="Times New Roman"/>
          <w:b/>
          <w:bCs/>
          <w:color w:val="000000" w:themeColor="text1"/>
          <w:sz w:val="32"/>
          <w:szCs w:val="24"/>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（二）</w:t>
      </w: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重点支持领域</w:t>
      </w:r>
      <w:r>
        <w:rPr>
          <w:rFonts w:hint="default" w:ascii="Times New Roman" w:hAnsi="Times New Roman" w:eastAsia="楷体_GB2312" w:cs="Times New Roman"/>
          <w:color w:val="000000" w:themeColor="text1"/>
          <w14:textFill>
            <w14:solidFill>
              <w14:schemeClr w14:val="tx1"/>
            </w14:solidFill>
          </w14:textFill>
        </w:rPr>
        <w:t>新增实缴资本奖励</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（专题2）</w:t>
      </w:r>
    </w:p>
    <w:p>
      <w:pPr>
        <w:spacing w:line="560" w:lineRule="exact"/>
        <w:ind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bookmarkStart w:id="0" w:name="_Hlk103764362"/>
      <w:r>
        <w:rPr>
          <w:rFonts w:hint="default" w:ascii="Times New Roman" w:hAnsi="Times New Roman" w:eastAsia="仿宋_GB2312" w:cs="Times New Roman"/>
          <w:b/>
          <w:color w:val="000000" w:themeColor="text1"/>
          <w:sz w:val="32"/>
          <w:szCs w:val="32"/>
          <w:highlight w:val="none"/>
          <w14:textFill>
            <w14:solidFill>
              <w14:schemeClr w14:val="tx1"/>
            </w14:solidFill>
          </w14:textFill>
        </w:rPr>
        <w:t>1.申报单位</w:t>
      </w:r>
      <w:bookmarkEnd w:id="0"/>
    </w:p>
    <w:p>
      <w:pPr>
        <w:pStyle w:val="2"/>
        <w:spacing w:line="560" w:lineRule="exact"/>
        <w:ind w:firstLine="640" w:firstLineChars="200"/>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开展重点支持领域研发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的集成电路企业（</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重点支持领域，指附件3）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numPr>
          <w:ilvl w:val="0"/>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申报条件</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（1）近</w:t>
      </w:r>
      <w:r>
        <w:rPr>
          <w:rFonts w:hint="default" w:ascii="Times New Roman" w:hAnsi="Times New Roman" w:eastAsia="仿宋_GB2312" w:cs="Times New Roman"/>
          <w:color w:val="000000" w:themeColor="text1"/>
          <w:sz w:val="32"/>
          <w:szCs w:val="32"/>
          <w:highlight w:val="none"/>
          <w:lang w:eastAsia="zh-TW"/>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年12月31日）累计获得专业投资机构投资不低于1000万元。</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“专业投资机构”是指近五年（202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年12月31日）入选“投中网投中榜”或“清科集团年度排名榜单”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或“母基金周刊（FOFWEEKLY）年度排行榜”或“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36氪中国股权投资机构年度名册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获得IC风云榜投资机构奖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的机构投资者、集成电路上市公司、各级政府投资基金以及合作区在中国证券投资基金业协会备案的澳资私募基金（澳门居民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或者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在澳门依法设立的法人持股比例合计须不低于25%）。</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上市公司是指在境内外证券交易所包括境内证券交易所（上海证券交易所、深圳证券交易所、北京证券交易所）、境外主流证券交易所（香港联合交易所、纽约证券交易所、纳斯达克证券交易所、伦敦证券交易所等）上市的集成电路公司。</w:t>
      </w:r>
    </w:p>
    <w:p>
      <w:pPr>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）自202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年12月31日，申报单位以货币方式实缴出资不低于1000万元（以银行到账金额及时间为准，不含以资本公积转增的形式）。</w:t>
      </w:r>
    </w:p>
    <w:p>
      <w:pPr>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）实缴资本（含认缴时间）、股权投资协议签署时间应在2025年1月1日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）若申请单位为融资主体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时</w:t>
      </w:r>
    </w:p>
    <w:p>
      <w:pPr>
        <w:numPr>
          <w:ilvl w:val="-1"/>
          <w:numId w:val="0"/>
        </w:numPr>
        <w:spacing w:line="560" w:lineRule="exact"/>
        <w:ind w:left="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①</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第一笔奖励申请条件：在合作区的产业化投入（不含地价）不低于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万元，且实地研发人员人数不少于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第二笔奖励申请条件：在该单位第一笔奖励资金到账当年，其产业化投入同比增长不低于</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，且实地研发人员人数同比增长不低于</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）若申请单位不属于融资主体，无法满足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“近三年累计获得专业投资机构投资不低于1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000万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条件，则必须满足以下条件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①</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第一笔奖励申请条件：在合作区的产业化投入（不含地价）不低于</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750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万元，且实地研发人员人数不少于</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75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第二笔奖励申请条件：在该单位第一笔奖励资金到账当年，其产业化投入同比增长不低于</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15%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，且实地研发人员人数同比增长不低于</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15%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不限于购买EDA、IP、研发费专项审计报告等第三方出具的专业独立证明材料）。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pStyle w:val="2"/>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）投资机构属于“专业投资机构”的证明、企业与投资机构签订的投资协议、融资资金到账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Style w:val="18"/>
          <w:rFonts w:hint="default" w:ascii="Times New Roman" w:hAnsi="Times New Roman" w:eastAsia="仿宋_GB2312" w:cs="Times New Roman"/>
          <w:color w:val="000000" w:themeColor="text1"/>
          <w:sz w:val="32"/>
          <w:szCs w:val="32"/>
          <w:highlight w:val="none"/>
          <w14:textFill>
            <w14:solidFill>
              <w14:schemeClr w14:val="tx1"/>
            </w14:solidFill>
          </w14:textFill>
        </w:rPr>
        <w:t>银行回单</w:t>
      </w:r>
      <w:r>
        <w:rPr>
          <w:rStyle w:val="18"/>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Style w:val="18"/>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注明出资用途</w:t>
      </w:r>
      <w:r>
        <w:rPr>
          <w:rStyle w:val="18"/>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）由具有资质的第三方机构对实缴资本出具的验资报告。</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pStyle w:val="3"/>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条件的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企业，按其新增实缴出资的10%给予最高2000万元奖励，按照4:6比例分两笔拨付。每家企业在政策有效期内仅可申请一次，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年已获得实缴资本奖励的企业不得再次申请202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年度奖励。</w:t>
      </w:r>
    </w:p>
    <w:p>
      <w:pPr>
        <w:pStyle w:val="6"/>
        <w:ind w:firstLine="0"/>
        <w:rPr>
          <w:rFonts w:hint="default" w:ascii="Times New Roman" w:hAnsi="Times New Roman" w:eastAsia="楷体_GB2312" w:cs="Times New Roman"/>
          <w:b/>
          <w:bCs/>
          <w:color w:val="000000" w:themeColor="text1"/>
          <w:sz w:val="32"/>
          <w:szCs w:val="24"/>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24"/>
          <w:highlight w:val="none"/>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24"/>
          <w:highlight w:val="none"/>
          <w:lang w:val="en-US" w:eastAsia="zh-CN"/>
          <w14:textFill>
            <w14:solidFill>
              <w14:schemeClr w14:val="tx1"/>
            </w14:solidFill>
          </w14:textFill>
        </w:rPr>
        <w:t>三</w:t>
      </w:r>
      <w:r>
        <w:rPr>
          <w:rFonts w:hint="default" w:ascii="Times New Roman" w:hAnsi="Times New Roman" w:eastAsia="楷体_GB2312" w:cs="Times New Roman"/>
          <w:b/>
          <w:bCs/>
          <w:color w:val="000000" w:themeColor="text1"/>
          <w:sz w:val="32"/>
          <w:szCs w:val="24"/>
          <w:highlight w:val="none"/>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24"/>
          <w:highlight w:val="none"/>
          <w:lang w:val="en-US" w:eastAsia="zh-CN"/>
          <w14:textFill>
            <w14:solidFill>
              <w14:schemeClr w14:val="tx1"/>
            </w14:solidFill>
          </w14:textFill>
        </w:rPr>
        <w:t>净化车间</w:t>
      </w:r>
      <w:r>
        <w:rPr>
          <w:rFonts w:hint="default" w:ascii="Times New Roman" w:hAnsi="Times New Roman" w:eastAsia="楷体_GB2312" w:cs="Times New Roman"/>
          <w:b/>
          <w:bCs/>
          <w:color w:val="000000" w:themeColor="text1"/>
          <w:sz w:val="32"/>
          <w:szCs w:val="24"/>
          <w:highlight w:val="none"/>
          <w14:textFill>
            <w14:solidFill>
              <w14:schemeClr w14:val="tx1"/>
            </w14:solidFill>
          </w14:textFill>
        </w:rPr>
        <w:t>补贴（专题3）</w:t>
      </w:r>
    </w:p>
    <w:p>
      <w:pPr>
        <w:numPr>
          <w:ilvl w:val="-1"/>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1.申请单位</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p>
    <w:p>
      <w:pPr>
        <w:numPr>
          <w:ilvl w:val="0"/>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（1）净化车间须位于合作区范围内。</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净化车间，是指为了保证生产工艺的纯净度，控制空气中粉尘、微生物、有毒有害气体等污染物的浓度，从而达到一定洁净度标准的工作区域。</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（2）申报单位按净化车间标准装修，达到10万级（含）以上洁净等级标准。</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净化车间在202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年1月1日至12月31日期间，获得10万级（含）以上洁净等级标准认证。</w:t>
      </w:r>
    </w:p>
    <w:p>
      <w:pPr>
        <w:pStyle w:val="13"/>
        <w:spacing w:line="560" w:lineRule="exact"/>
        <w:ind w:left="0" w:leftChars="0" w:firstLine="640" w:firstLineChars="200"/>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（4）净化车间获</w:t>
      </w:r>
      <w:r>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得国家市场监督管理总局或者中国合格评定国家认可委员会（CNAS）、中国计量认证（CMA）等机构的审核认定证书。</w:t>
      </w:r>
    </w:p>
    <w:p>
      <w:pPr>
        <w:spacing w:line="560" w:lineRule="exact"/>
        <w:ind w:firstLine="643" w:firstLineChars="200"/>
        <w:rPr>
          <w:rFonts w:hint="default" w:ascii="Times New Roman" w:hAnsi="Times New Roman" w:eastAsia="仿宋_GB2312" w:cs="Times New Roman"/>
          <w:b/>
          <w:bCs/>
          <w:i w:val="0"/>
          <w:iCs w:val="0"/>
          <w:caps w:val="0"/>
          <w:color w:val="000000" w:themeColor="text1"/>
          <w:spacing w:val="0"/>
          <w:sz w:val="32"/>
          <w:szCs w:val="32"/>
          <w:highlight w:val="none"/>
          <w:shd w:val="clear"/>
          <w:lang w:val="en-US" w:eastAsia="zh-CN"/>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sz w:val="32"/>
          <w:szCs w:val="32"/>
          <w:highlight w:val="none"/>
          <w:shd w:val="clear"/>
          <w:lang w:val="en-US" w:eastAsia="zh-CN"/>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申请单位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pPr>
        <w:pStyle w:val="13"/>
        <w:spacing w:line="560" w:lineRule="exact"/>
        <w:ind w:left="0" w:leftChars="0" w:firstLine="640" w:firstLineChars="200"/>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申请单位</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实质性运营证明：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详见《实质性运营证明资料清单》</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符合条件的净化车间有效的场地购买证明材料</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或</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租赁合同、净化车间面积、施工许可相关佐证</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按净化车间标准装修且达到10万级（含）以上洁净等级标准相关佐证（2025年1月1日至12月31日期间获得</w:t>
      </w:r>
      <w:r>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国家市场监督管理总局或者中国合格评定国家认可委员会（CNAS）、中国计量认证（CMA）等机构出具的洁净等级标准认定报告）。</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申请单位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认为有必要提供的材料。</w:t>
      </w:r>
    </w:p>
    <w:p>
      <w:pPr>
        <w:spacing w:line="560" w:lineRule="exact"/>
        <w:ind w:firstLine="643" w:firstLineChars="20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4.支持标准</w:t>
      </w:r>
    </w:p>
    <w:p>
      <w:pPr>
        <w:spacing w:line="560" w:lineRule="exact"/>
        <w:ind w:firstLine="640"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对符合条件的企业或科研机构，根据所建设净化车间面积，按每平方米200元的标准给予一次性最高100万元补贴，</w:t>
      </w:r>
      <w:r>
        <w:rPr>
          <w:rFonts w:hint="default" w:ascii="Times New Roman" w:hAnsi="Times New Roman" w:eastAsia="仿宋_GB2312" w:cs="Times New Roman"/>
          <w:i w:val="0"/>
          <w:iCs w:val="0"/>
          <w:caps w:val="0"/>
          <w:color w:val="000000" w:themeColor="text1"/>
          <w:spacing w:val="0"/>
          <w:sz w:val="32"/>
          <w:szCs w:val="32"/>
          <w:highlight w:val="none"/>
          <w:shd w:val="clear"/>
          <w14:textFill>
            <w14:solidFill>
              <w14:schemeClr w14:val="tx1"/>
            </w14:solidFill>
          </w14:textFill>
        </w:rPr>
        <w:t>同一</w:t>
      </w:r>
      <w:r>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净化车间</w:t>
      </w:r>
      <w:r>
        <w:rPr>
          <w:rFonts w:hint="default" w:ascii="Times New Roman" w:hAnsi="Times New Roman" w:eastAsia="仿宋_GB2312" w:cs="Times New Roman"/>
          <w:i w:val="0"/>
          <w:iCs w:val="0"/>
          <w:caps w:val="0"/>
          <w:color w:val="000000" w:themeColor="text1"/>
          <w:spacing w:val="0"/>
          <w:sz w:val="32"/>
          <w:szCs w:val="32"/>
          <w:highlight w:val="none"/>
          <w:shd w:val="clear"/>
          <w14:textFill>
            <w14:solidFill>
              <w14:schemeClr w14:val="tx1"/>
            </w14:solidFill>
          </w14:textFill>
        </w:rPr>
        <w:t>仅可享受一次建设补贴</w:t>
      </w:r>
      <w:r>
        <w:rPr>
          <w:rFonts w:hint="default" w:ascii="Times New Roman" w:hAnsi="Times New Roman" w:eastAsia="仿宋_GB2312" w:cs="Times New Roman"/>
          <w:i w:val="0"/>
          <w:iCs w:val="0"/>
          <w:caps w:val="0"/>
          <w:color w:val="000000" w:themeColor="text1"/>
          <w:spacing w:val="0"/>
          <w:sz w:val="32"/>
          <w:szCs w:val="32"/>
          <w:highlight w:val="none"/>
          <w:shd w:val="clear"/>
          <w:lang w:eastAsia="zh-CN"/>
          <w14:textFill>
            <w14:solidFill>
              <w14:schemeClr w14:val="tx1"/>
            </w14:solidFill>
          </w14:textFill>
        </w:rPr>
        <w:t>。</w:t>
      </w:r>
    </w:p>
    <w:p>
      <w:pPr>
        <w:pStyle w:val="6"/>
        <w:ind w:firstLine="643"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（四）多项目晶圆（MPW）流片补贴（专题4）</w:t>
      </w:r>
    </w:p>
    <w:p>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p>
    <w:p>
      <w:p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）申请流片补贴的芯片产品为申报单位具有自主知识产权的芯片产品。</w:t>
      </w:r>
    </w:p>
    <w:p>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申报阶段尚未获得知识产权，承诺自申报通知发布之日起5个月内提交知识产权证书的单位，可参与申报。</w:t>
      </w:r>
    </w:p>
    <w:p>
      <w:pPr>
        <w:pStyle w:val="30"/>
        <w:numPr>
          <w:ilvl w:val="0"/>
          <w:numId w:val="2"/>
        </w:numP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MPW流片完成（指晶圆厂回片）时间在202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w:t>
      </w:r>
    </w:p>
    <w:p>
      <w:pPr>
        <w:pStyle w:val="30"/>
        <w:numPr>
          <w:ilvl w:val="0"/>
          <w:numId w:val="2"/>
        </w:numP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申请单位的流片合同签署日期应不早于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0"/>
        <w:numPr>
          <w:ilvl w:val="0"/>
          <w:numId w:val="2"/>
        </w:numPr>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以2025年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度当年流片回片对应的流片发票金额为基数计算当年度流片补贴，同一费用不得多年重复申请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pPr>
        <w:pStyle w:val="13"/>
        <w:spacing w:line="560" w:lineRule="exact"/>
        <w:ind w:left="0" w:leftChars="0" w:firstLine="640" w:firstLineChars="200"/>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（2）申报单位实质性运营证明：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详见《实质性运营证明资料清单》</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）流片芯片的集成电路布图设计登记证书或发明专利证书，或自申报通知发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布之</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日起5个月内提交集成电路布图设计登记证书或发明专利证书的承诺函。</w:t>
      </w:r>
    </w:p>
    <w:p>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）流片芯片版图缩略图、产品外观照片等相关材料。</w:t>
      </w:r>
    </w:p>
    <w:p>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）流片费用的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专项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审计报告（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金额100万元及以下的无需提供）、流片费用明细表、合同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提供的合同须注明为MPW</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、付款凭证（境外加工的需提供海关报关单）、发票或INVOICE（提供的发票上须注明为MPW）。</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）自主研发的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说明（包括主要研发内容</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如有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委外</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研发部分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需提供委外合同等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相关佐证材料。</w:t>
      </w:r>
    </w:p>
    <w:p>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）通过第三方流片的，需提供第三方与晶圆厂的合同、付款凭证、发票或INVOICE以及晶圆厂回片证明。</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pStyle w:val="3"/>
        <w:spacing w:line="560" w:lineRule="exact"/>
        <w:ind w:firstLine="640"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对符合条件的企业或科研机构，按照流片费用（发票和支付凭证时间均须在202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年12月31日期间）的70%给予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最高500万元补贴。针对同一规格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产品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（即版图产权型号/名称一致的产品）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已经申请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年MPW流片补贴的费用不能在202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年再次申请。</w:t>
      </w:r>
    </w:p>
    <w:p>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（五）首轮工程流片补贴（专题5）</w:t>
      </w:r>
    </w:p>
    <w:p>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）申请流片补贴的芯片产品为申报单位具有自主知识产权的芯片产品。</w:t>
      </w:r>
    </w:p>
    <w:p>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申报阶段尚未获得知识产权，承诺自申报通知发布之日起5个月内提交知识产权证书的单位，可参与申报。</w:t>
      </w:r>
    </w:p>
    <w:p>
      <w:pPr>
        <w:pStyle w:val="30"/>
        <w:numPr>
          <w:ilvl w:val="0"/>
          <w:numId w:val="3"/>
        </w:numPr>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首轮流片完成（指晶圆厂回片）时间在202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w:t>
      </w:r>
    </w:p>
    <w:p>
      <w:pPr>
        <w:pStyle w:val="30"/>
        <w:numPr>
          <w:ilvl w:val="0"/>
          <w:numId w:val="3"/>
        </w:numPr>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025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年度当年流片回片对应的流片发票金额为基数计算当年度流片补贴，同一费用不得多年重复申请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0"/>
        <w:numPr>
          <w:ilvl w:val="0"/>
          <w:numId w:val="3"/>
        </w:numPr>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申请单位的流片合同签署日期应不早于2024年1月1日。</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）申报单位承诺在合作区开展流片产品的产业化及销售。</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一型号芯片只补贴首轮流片费用，流片费用具体包括：掩膜版制作费、用于首轮流片的晶圆购置费（不超过25片晶圆）、制造端IP授权费、测试加工费等。不包括研发端IP授权费、量产后晶圆购置芯片流片费等。</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）流片芯片的集成电路布图设计登记证书或发明专利证书，或自申报通知发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布之</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日起5个月内提交集成电路布图设计登记证书或发明专利证书的承诺函。</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）流片芯片版图缩略图、产品外观照片等相关材料。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）流片费用的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专项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审计报告（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金额100万元及以下的无需提供）、流片费用明细表、合同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不高于25片晶圆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、付款凭证（境外加工的需提供海关报关单）、发票或INVOICE。</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）自主研发的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说明（包括主要研发内容</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如有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委外</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研发部分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需提供委外合同等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相关佐证材料。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）申报单位承诺在合作区开展流片产品产业化及销售的承诺书。</w:t>
      </w:r>
    </w:p>
    <w:p>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）通过第三方流片的，需提供第三方与晶圆厂的合同、付款凭证、发票或INVOICE以及晶圆厂回片证明。</w:t>
      </w:r>
    </w:p>
    <w:p>
      <w:pPr>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widowControl/>
        <w:spacing w:line="560" w:lineRule="exact"/>
        <w:ind w:firstLine="640" w:firstLineChars="200"/>
        <w:jc w:val="both"/>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对符合条件的企业或科研机构，按照流片费用（发票和支付凭证时间均须在202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年12月31日期间）的50%给予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最高3000万元补贴。对工艺制程在14nm以下的，最高补贴2500万元；对工艺制程在28nm以下的，最高补贴1500万元；对车规级芯片工艺制程在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90nm</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及以下的，最高补贴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00万元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对其它工艺制程的，最高补贴800万元。针对同一规格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产品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（即版图产权型号/名称一致的产品）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已经申请2022、2023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年首轮工程流片补贴的费用不能在202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年再次申请。</w:t>
      </w:r>
    </w:p>
    <w:p>
      <w:pPr>
        <w:pStyle w:val="6"/>
        <w:ind w:firstLine="0"/>
        <w:rPr>
          <w:rFonts w:hint="default" w:ascii="Times New Roman" w:hAnsi="Times New Roman" w:eastAsia="楷体_GB2312" w:cs="Times New Roman"/>
          <w:color w:val="000000" w:themeColor="text1"/>
          <w:szCs w:val="24"/>
          <w:highlight w:val="none"/>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（六）IP购买补贴（专题6）</w:t>
      </w:r>
    </w:p>
    <w:p>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p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（1）申报单位向IP提供商、EDA供应商、代工厂或者其指定的代理购买IP，支付凭证在202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（2）IP购买实际支付费用应为IP授权费用（不含版税费用）。</w:t>
      </w:r>
    </w:p>
    <w:p>
      <w:pPr>
        <w:pStyle w:val="13"/>
        <w:spacing w:line="560" w:lineRule="exact"/>
        <w:ind w:left="0" w:leftChars="0" w:firstLine="640" w:firstLineChars="200"/>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（3）申报单位购买的IP用于本单位重点支持领域研发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须通过专家评审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重点支持领域</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指附件3中的1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7款</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申请单位的IP购买合同签署日期须在政策有效期内。</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）IP购买费用的审计报告（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金额100万元及以下的无需提供）、合同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签订时间须在政策有效期内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、支付凭证、发票。通过代理商采购的单位，需提供代理商获取的原厂授权书扫描件或复印件。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）IP买卖双方有股权关系的，须提供交易IP价格公允性说明及价格真实性承诺函。</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）所购买IP用于申报单位重点支持领域研发的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说明及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证明材料。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对符合条件的企业或科研机构，按照其IP采购实际支出费用的30%给予年度最高300万元补贴。</w:t>
      </w:r>
    </w:p>
    <w:p>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（七）IP复用补贴（专题7）</w:t>
      </w:r>
    </w:p>
    <w:p>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（1）申报单位与集成电路公共服务平台签订IP复用协议，且协议签署日期须在政策有效期内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支付凭证在202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集成电路公共服务平台是指国家、广东省、合作区政府部门批准建设或认定的公共服务平台。</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（2）申报单位复用的IP用于本单位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开展重点支持领域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须通过专家评审</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重点支持领域</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指附件3中的1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7款</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）IP复用费用的审计报告（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金额100万元及以下的无需提供）、合同、支付凭证、发票。</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）所复用IP用于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单位重点支持领域研发的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说明及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证明材料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）集成电路公共服务平台经国家、广东省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合作区政府部门批准建设或认定的证明材料。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对符合条件的企业或科研机构，按照</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其IP复用实际支出费用的50%给予年度最高100万元补贴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（八）IP研发补贴（专题8）</w:t>
      </w:r>
    </w:p>
    <w:p>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主营业务为IP研发及服务的集成电路企业。</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申</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单位应从事IP研发，须通过专家认定。</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highlight w:val="yellow"/>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年度IP自投研发费用的专项审计报告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需有研发明细表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“自投研发费用”：是指企业以自有资金（即不含企业所获得的国家、广东省、合作区无偿资助类财政资金）进行研发活动，按照《财政部 国家税务总局 科技部关于完善研究开发费用税前加计扣除政策的通知》（财税〔2015〕119号）、《国家税务总局关于研发费用税前加计扣除归集范围有关问题的公告》（国家税务总局公告2017年第40号）、《财政部 税务总局 科技部关于企业委托境外研究开发费用税前加计扣除有关政策问题的通知》（财税〔2018〕64号）等文件规定归集的研究开发费用。国家有关文件有调整的，从其规定。</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对符合条件的企业，按照</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年度IP自投研发费用</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的30%给予</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年度</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最高1500万元补贴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（九）EDA购买补贴（专题9）</w:t>
      </w:r>
    </w:p>
    <w:p>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2.申报条件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（1）申报单位购置国际国内主流EDA供应商的EDA工具软件授权，支付凭证在202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（2）申报单位与主流EDA供应商签订最终用户使用证明。</w:t>
      </w:r>
    </w:p>
    <w:p>
      <w:pPr>
        <w:spacing w:line="560" w:lineRule="exact"/>
        <w:ind w:left="0"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单位的EDA工具购买合同签署日期须在政策有效期内。</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）EDA购买费用的审计报告（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金额100万元及以下的无需提供）、合同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签订时间须在政策有效期内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、支付凭证、发票。通过代理商采购的单位，需提供代理商获取的原厂授权书扫描件或复印件。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）EDA买卖双方有股权关系的，须提供交易EDA价格公允性说明及价格真实性承诺函。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对符合条件的企业或科研机构，按照其EDA采购实际支出费用的30%给予年度最高300万元补贴。</w:t>
      </w:r>
    </w:p>
    <w:p>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（十）EDA租用补贴（专题10）</w:t>
      </w:r>
    </w:p>
    <w:p>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申报单位租用集成电路公共服务平台EDA工具，支付凭证在202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年12月31日期间。</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集成电路公共服务平台是指经国家、广东省、合作区政府部门批准建设或认定的公共服务平台。</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申请EDA工具租用补贴的申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单位须与集成电路公共服务平台签订EDA租用协议，且协议签署日期须在政策有效期内。</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）EDA租用费用的审计报告（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金额100万元及以下的无需提供）、合同、支付凭证、发票。</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）集成电路公共服务平台经国家、广东省、合作区政府部门批准建设或认定的证明材料。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EDA租用协议（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协议签署日期须在政策有效期内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对符合条件的企业或科研机构，按照</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其EDA租用实际支出费用的50%给予年度最高300万元补贴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（十一）EDA研发补贴（专题11）</w:t>
      </w:r>
    </w:p>
    <w:p>
      <w:pPr>
        <w:pStyle w:val="3"/>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主营业务为EDA研发及服务的集成电路企业。</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pStyle w:val="30"/>
        <w:spacing w:line="560" w:lineRule="exact"/>
        <w:ind w:firstLine="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单位应从事EDA工具软件研发，须通过专家认定。</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年度完税证明等。</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年度EDA自投研发费用的专项审计报告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需有研发明细表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“自投研发费用”：是指企业以自有资金（即不含企业所获得的国家、广东省、合作区无偿资助类财政资金）进行研发活动，按照《财政部 国家税务总局 科技部关于完善研究开发费用税前加计扣除政策的通知》（财税〔2015〕119号）、《国家税务总局关于研发费用税前加计扣除归集范围有关问题的公告》（国家税务总局公告2017年第40号）、《财政部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税务总局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科技部关于企业委托境外研究开发费用税前加计扣除有关政策问题的通知》（财税〔2018〕64号）等文件规定归集的研究开发费用。国家有关文件有调整的，从其规定。</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对符合条件的企业，按照</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年度EDA自投研发费用</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的50%给予</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年度</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最高1500万元补贴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（十二）测试验证补贴（专题12）</w:t>
      </w:r>
    </w:p>
    <w:p>
      <w:pPr>
        <w:pStyle w:val="3"/>
        <w:spacing w:line="560" w:lineRule="exact"/>
        <w:ind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具备独立法人资格，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在合作区开展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集成电路晶圆或芯片产品的功能、性能、可靠性、兼容性、失效分析等方面的检测、测试验证服务的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2.申报条件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年度为澳门、合作区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或机构（无股权关系）提供检测、测试验证服务，并取得收入。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备注：包含直接持股与间接持股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年度完税证明等。</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年度为澳门、合作区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企业或者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机构（与申报单位无股权关系）提供检测、测试验证服务收入的专项审计报告。</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按照其202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年度为澳门、合作区</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企业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或机构（无股权关系）提供检测、测试验证服务实际收入的50%给予年度最高500万元补贴。</w:t>
      </w:r>
    </w:p>
    <w:p>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（十三）测试及检测相关设备耗材研发补贴（专题13）</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主营业务为测试及检测相关设备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含核心零部件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耗材研发、生产、销售的集成电路企业。</w:t>
      </w:r>
    </w:p>
    <w:p>
      <w:pPr>
        <w:pStyle w:val="30"/>
        <w:numPr>
          <w:ilvl w:val="-1"/>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申报企业应从事测试及检测相关设备（含核心零部件）、耗材研发，须通过专家认定。</w:t>
      </w:r>
    </w:p>
    <w:p>
      <w:pPr>
        <w:pStyle w:val="30"/>
        <w:numPr>
          <w:ilvl w:val="-1"/>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年度测试及检测相关设备耗材自投研发费用的专项审计报告。</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“自投研发费用”：是指企业以自有资金（即不含企业所获得的国家、广东省、合作区无偿资助类财政资金）进行研发活动，按照《财政部 国家税务总局 科技部关于完善研究开发费用税前加计扣除政策的通知》（财税〔2015〕119号）、《国家税务总局关于研发费用税前加计扣除归集范围有关问题的公告》（国家税务总局公告2017年第40号）、《财政部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税务总局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科技部关于企业委托境外研究开发费用税前加计扣除有关政策问题的通知》（财税〔2018〕64号）等文件规定归集的研究开发费用。国家有关文件有调整的，从其规定。</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按照其202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年度测试及检测相关设备（含核心零部件）、耗材自投研发费用的50%给予</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年度</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最高500万元补贴。</w:t>
      </w:r>
    </w:p>
    <w:p>
      <w:pPr>
        <w:pStyle w:val="6"/>
        <w:ind w:firstLine="0"/>
        <w:rPr>
          <w:rFonts w:hint="default" w:ascii="Times New Roman" w:hAnsi="Times New Roman" w:eastAsia="楷体_GB2312" w:cs="Times New Roman"/>
          <w:color w:val="000000" w:themeColor="text1"/>
          <w:highlight w:val="none"/>
          <w14:textFill>
            <w14:solidFill>
              <w14:schemeClr w14:val="tx1"/>
            </w14:solidFill>
          </w14:textFill>
        </w:rPr>
      </w:pPr>
      <w:r>
        <w:rPr>
          <w:rFonts w:hint="default" w:ascii="Times New Roman" w:hAnsi="Times New Roman" w:eastAsia="楷体_GB2312" w:cs="Times New Roman"/>
          <w:color w:val="000000" w:themeColor="text1"/>
          <w:highlight w:val="none"/>
          <w14:textFill>
            <w14:solidFill>
              <w14:schemeClr w14:val="tx1"/>
            </w14:solidFill>
          </w14:textFill>
        </w:rPr>
        <w:t>（十四）制造封装补贴（专题14）</w:t>
      </w:r>
    </w:p>
    <w:p>
      <w:pPr>
        <w:widowControl/>
        <w:spacing w:line="560" w:lineRule="exact"/>
        <w:ind w:firstLine="643" w:firstLineChars="200"/>
        <w:jc w:val="both"/>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t>1.申报单位</w:t>
      </w:r>
    </w:p>
    <w:p>
      <w:pPr>
        <w:pStyle w:val="30"/>
        <w:widowControl/>
        <w:numPr>
          <w:ilvl w:val="-1"/>
          <w:numId w:val="0"/>
        </w:numPr>
        <w:spacing w:line="560" w:lineRule="exact"/>
        <w:ind w:firstLine="640" w:firstLineChars="200"/>
        <w:jc w:val="both"/>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t>集成电路企业。</w:t>
      </w:r>
    </w:p>
    <w:p>
      <w:pPr>
        <w:pStyle w:val="30"/>
        <w:widowControl/>
        <w:numPr>
          <w:ilvl w:val="0"/>
          <w:numId w:val="0"/>
        </w:numPr>
        <w:spacing w:line="560" w:lineRule="exact"/>
        <w:ind w:firstLine="643" w:firstLineChars="200"/>
        <w:jc w:val="both"/>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t>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申报企业应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在合作区开展集成电路制造及封装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相关设备（含核心零部件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软件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模组加工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，须通过专家认定。</w:t>
      </w:r>
    </w:p>
    <w:p>
      <w:pPr>
        <w:widowControl/>
        <w:numPr>
          <w:ilvl w:val="0"/>
          <w:numId w:val="0"/>
        </w:numPr>
        <w:spacing w:line="560" w:lineRule="exact"/>
        <w:ind w:firstLine="643" w:firstLineChars="200"/>
        <w:jc w:val="both"/>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t>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年自投研发费用的专项审计报告。</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“自投研发费用”：是指企业以自有资金（即不含企业所获得的国家、广东省、合作区无偿资助类财政资金）进行研发活动，按照《财政部 国家税务总局 科技部关于完善研究开发费用税前加计扣除政策的通知》（财税〔2015〕119号）、《国家税务总局关于研发费用税前加计扣除归集范围有关问题的公告》（国家税务总局公告2017年第40号）、《财政部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税务总局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科技部关于企业委托境外研究开发费用税前加计扣除有关政策问题的通知》（财税〔2018〕64号）等文件规定归集的研究开发费用。国家有关文件有调整的，从其规定。</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认为有必要提供的材料。</w:t>
      </w:r>
    </w:p>
    <w:p>
      <w:pPr>
        <w:spacing w:line="560" w:lineRule="exact"/>
        <w:ind w:firstLine="643" w:firstLineChars="20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4.支持标准</w:t>
      </w:r>
    </w:p>
    <w:p>
      <w:pPr>
        <w:widowControl/>
        <w:spacing w:line="560" w:lineRule="exact"/>
        <w:ind w:firstLine="640" w:firstLineChars="200"/>
        <w:jc w:val="both"/>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2"/>
          <w:sz w:val="32"/>
          <w:szCs w:val="32"/>
          <w:highlight w:val="none"/>
          <w:u w:val="none"/>
          <w:shd w:val="clear" w:fill="auto"/>
          <w:lang w:val="en-US" w:eastAsia="zh-CN" w:bidi="ar"/>
          <w14:textFill>
            <w14:solidFill>
              <w14:schemeClr w14:val="tx1"/>
            </w14:solidFill>
          </w14:textFill>
        </w:rPr>
        <w:t>对在合作区开展集成电路制造及封装相关设备(含核心零部件、软件)研发、模组加工的企业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按自投研发费用的20%给予年度最高1000万元补贴。</w:t>
      </w:r>
    </w:p>
    <w:p>
      <w:pPr>
        <w:pStyle w:val="6"/>
        <w:ind w:firstLine="643" w:firstLineChars="200"/>
        <w:rPr>
          <w:rFonts w:hint="default" w:ascii="Times New Roman" w:hAnsi="Times New Roman" w:eastAsia="楷体_GB2312" w:cs="Times New Roman"/>
          <w:b/>
          <w:bCs/>
          <w:color w:val="000000" w:themeColor="text1"/>
          <w:sz w:val="32"/>
          <w:szCs w:val="24"/>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（十五）</w:t>
      </w:r>
      <w:r>
        <w:rPr>
          <w:rFonts w:hint="default" w:ascii="Times New Roman" w:hAnsi="Times New Roman" w:eastAsia="楷体_GB2312" w:cs="Times New Roman"/>
          <w:b/>
          <w:bCs/>
          <w:color w:val="000000" w:themeColor="text1"/>
          <w:sz w:val="32"/>
          <w:szCs w:val="24"/>
          <w:highlight w:val="none"/>
          <w:lang w:val="en-US" w:eastAsia="zh-CN"/>
          <w14:textFill>
            <w14:solidFill>
              <w14:schemeClr w14:val="tx1"/>
            </w14:solidFill>
          </w14:textFill>
        </w:rPr>
        <w:t>车规级认证补贴（专题15）</w:t>
      </w:r>
    </w:p>
    <w:p>
      <w:pPr>
        <w:pStyle w:val="30"/>
        <w:numPr>
          <w:ilvl w:val="0"/>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w:t>
      </w:r>
    </w:p>
    <w:p>
      <w:pPr>
        <w:pStyle w:val="30"/>
        <w:numPr>
          <w:ilvl w:val="0"/>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集成电路企业产品通过汽车电子车规级认证</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通过专家认定。</w:t>
      </w:r>
    </w:p>
    <w:p>
      <w:pPr>
        <w:pStyle w:val="30"/>
        <w:numPr>
          <w:ilvl w:val="0"/>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车规级芯片，是指通过国际汽车电子协会车规级产品测试标准系列（AEC-Q系列）、汽车质量管理体系标准（IATF 16949）、道路车辆功能安全标准（ISO 26262）等汽车电子车规级认证的芯片，其中，AEC-Q系列认证包括AEC-Q100（IC）、AEC-Q101（分立器件）、AEC-Q102（光电器件）、AEC-Q103（MEMS传感器）、AEC-Q104（多芯片模组）、AEC-Q200（被动组件）可靠度标准认证。</w:t>
      </w:r>
    </w:p>
    <w:p>
      <w:pPr>
        <w:pStyle w:val="30"/>
        <w:numPr>
          <w:ilvl w:val="0"/>
          <w:numId w:val="0"/>
        </w:numPr>
        <w:spacing w:line="560" w:lineRule="exact"/>
        <w:ind w:firstLine="643" w:firstLineChars="20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4）申报单位2025年度获得由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CNAS或CMA资质的第三方机构出具的车规级认证证书。</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（5）申报单位通过汽车电子车规级认证的合同、支付凭证、发票等证明材料。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pStyle w:val="30"/>
        <w:numPr>
          <w:ilvl w:val="-1"/>
          <w:numId w:val="0"/>
        </w:numPr>
        <w:spacing w:line="560" w:lineRule="exact"/>
        <w:ind w:firstLine="640" w:firstLineChars="200"/>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认为有必要提供的材料。</w:t>
      </w:r>
    </w:p>
    <w:p>
      <w:pPr>
        <w:pStyle w:val="30"/>
        <w:numPr>
          <w:ilvl w:val="-1"/>
          <w:numId w:val="0"/>
        </w:numPr>
        <w:spacing w:line="560" w:lineRule="exact"/>
        <w:ind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4.支持标准</w:t>
      </w:r>
    </w:p>
    <w:p>
      <w:pPr>
        <w:pStyle w:val="30"/>
        <w:widowControl/>
        <w:numPr>
          <w:ilvl w:val="-1"/>
          <w:numId w:val="0"/>
        </w:numPr>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对符合条件的企业，按照其实际认证费用的30%给予年度最高200万元补贴。</w:t>
      </w:r>
    </w:p>
    <w:p>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（十六）行业</w:t>
      </w:r>
      <w:r>
        <w:rPr>
          <w:rFonts w:hint="default" w:ascii="Times New Roman" w:hAnsi="Times New Roman" w:eastAsia="楷体_GB2312" w:cs="Times New Roman"/>
          <w:color w:val="000000" w:themeColor="text1"/>
          <w:lang w:val="en-US" w:eastAsia="zh-CN"/>
          <w14:textFill>
            <w14:solidFill>
              <w14:schemeClr w14:val="tx1"/>
            </w14:solidFill>
          </w14:textFill>
        </w:rPr>
        <w:t>创新</w:t>
      </w:r>
      <w:r>
        <w:rPr>
          <w:rFonts w:hint="default" w:ascii="Times New Roman" w:hAnsi="Times New Roman" w:eastAsia="楷体_GB2312" w:cs="Times New Roman"/>
          <w:color w:val="000000" w:themeColor="text1"/>
          <w14:textFill>
            <w14:solidFill>
              <w14:schemeClr w14:val="tx1"/>
            </w14:solidFill>
          </w14:textFill>
        </w:rPr>
        <w:t>奖项奖励（专题16）</w:t>
      </w:r>
    </w:p>
    <w:p>
      <w:p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w:t>
      </w:r>
    </w:p>
    <w:p>
      <w:p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年获得以下行业奖项之一：</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（1）中国电子信息产业发展研究院“中国芯”。</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（2）中国半导体行业协会“中国半导体创新产品和技术”。</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（3）中国集成电路创新联盟“集成电路产业技术创新奖”。</w:t>
      </w:r>
    </w:p>
    <w:p>
      <w:pPr>
        <w:spacing w:line="560" w:lineRule="exact"/>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不限于购买EDA、IP、研发费专项审计报告等第三方出具的专业独立证明材料）。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）获得奖项的相关证明材料。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spacing w:line="560" w:lineRule="exact"/>
        <w:ind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4.支持标准</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年获评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中国电子信息产业发展</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研究院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“中国芯”奖项，中国半导体行业协会“中国半导体创新产品和技术”称号，中国集成电路创新联盟“集成电路产业技术创新奖”的企业，给予一次性30万元奖励。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企业获得多个奖项的，仅奖励一次。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年已获得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行业奖项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奖励</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的企业不得再次申请202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年度奖励</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（十七）人才引进奖励（合作区企业或科研机构）（专题17）</w:t>
      </w:r>
    </w:p>
    <w:p>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本专题奖励资金由人才所在的单位统一申报，并发放至相应个人，其中合作区企业可同时申报研发人员和高级管理人员奖励，合作区科研机构仅可申报研发人员奖励。</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“研发人员”：是指取得全日制学士及以上学位，所学专业学科门类为理学、工学，且从事集成电路产品架构研发、前端/后端设计、供应链、生产、FAE、测试、质量管理等相关部门的技术岗位者。</w:t>
      </w:r>
    </w:p>
    <w:p>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2.申报条件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申请本专题奖励的个人须同时满足以下条件：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（1）与所在单位签订三年以上全职劳动合同，审核期间劳动合同仍在有效期内。</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（2）至申报通知发布日，在所在单位连续缴纳社保（退休返聘、外籍或港澳台员工无需社保）及个人所得税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职业税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不少于6个月。</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（3）在合作区企业属于研发或高级管理岗位，在合作区科研机构属于研发岗位。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年12月31日，在合作区实地办公的天数不少于年度总工作天数的一半。</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年在合作区集成电路企业或科研机构取得并缴纳个人所得税的工资薪金收入超过30万元（含）。</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（6）同一合作区企业申请享受该条奖励的高级管理人员人数不超过企业在合作区缴纳社保及个人所得税（退休返聘、外籍或港澳台员工无需社保）员工总数的10%，且不超过10人。员工总数以202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年10月、11月、12月的月末平均数计算。</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（7）同一申请人只能在同一单位申请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本实施细则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及第1/2022号执行委员会经济发展局规范性文件《横琴粤澳深度合作区促进集成电路产业发展若干措施实施细则》所规定的人才引进奖励。</w:t>
      </w:r>
    </w:p>
    <w:p>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不限于购买EDA、IP、研发费专项审计报告等第三方出具的专业独立证明材料）。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年10月、11月、12月在合作区缴纳社保及个人所得税的人员清单、劳动合同（或广东省/珠海市人力资源和社会保障网上服务平台打印的《就业登记信息》）等佐证材料；退休返聘、外籍或港澳台员工佐证材料。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）《合作区企业或科研机构申请人才引进奖励汇总表》；相关人员的身份证明或护照扫描件、劳动合同（或广东省/珠海市人力资源和社会保障网上服务平台打印的《就业登记信息》）、202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月在合作区连续缴纳个人所得税及社保的记录证明、学历学位证明和专业证明、202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年12月31日在合作区实地办公的证明材料（出勤记录或其他）、所属期为202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年度的个人所得税完税证明以及202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年度工资薪金收入证明材料。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）申报单位承诺将奖励资金发放至个人的承诺函。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）《合作区企业或科研机构申请人才引进奖励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4.支持标准</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对符合条件的个人，按照个人202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年度工资薪金收入总额给予奖励：</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（1）年薪30万元（含）</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50万元（不含），给予10万元奖励</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（2）年薪50万元以上的，给予15万元奖励。</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 xml:space="preserve">申请奖励的为澳门居民或拥有澳门高校学士及以上学位的，奖励标准按照上述标准的1.5倍予以执行。 </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同一企业或科研机构申请享受本条奖励的研发人员人数不限；同一企业申请享受本条奖励的高级管理人员人数不超过企业员工总数的10%，且不超过10人。</w:t>
      </w:r>
    </w:p>
    <w:p>
      <w:pPr>
        <w:pStyle w:val="6"/>
        <w:ind w:firstLine="0"/>
        <w:rPr>
          <w:rFonts w:hint="default" w:ascii="Times New Roman" w:hAnsi="Times New Roman" w:eastAsia="楷体_GB2312" w:cs="Times New Roman"/>
          <w:b/>
          <w:bCs/>
          <w:color w:val="000000" w:themeColor="text1"/>
          <w:szCs w:val="24"/>
          <w:highlight w:val="none"/>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（十八）人才引进奖励（澳门关联公司）（专题18）</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w:t>
      </w:r>
      <w:bookmarkStart w:id="1" w:name="_Hlk106093303"/>
      <w:r>
        <w:rPr>
          <w:rFonts w:hint="default" w:ascii="Times New Roman" w:hAnsi="Times New Roman" w:eastAsia="仿宋_GB2312" w:cs="Times New Roman"/>
          <w:color w:val="000000" w:themeColor="text1"/>
          <w:sz w:val="32"/>
          <w:szCs w:val="32"/>
          <w:highlight w:val="none"/>
          <w14:textFill>
            <w14:solidFill>
              <w14:schemeClr w14:val="tx1"/>
            </w14:solidFill>
          </w14:textFill>
        </w:rPr>
        <w:t>与合作区企业具有关联关系的澳门公司</w:t>
      </w:r>
      <w:bookmarkEnd w:id="1"/>
      <w:r>
        <w:rPr>
          <w:rFonts w:hint="default" w:ascii="Times New Roman" w:hAnsi="Times New Roman" w:eastAsia="仿宋_GB2312" w:cs="Times New Roman"/>
          <w:color w:val="000000" w:themeColor="text1"/>
          <w:sz w:val="32"/>
          <w:szCs w:val="32"/>
          <w:highlight w:val="none"/>
          <w14:textFill>
            <w14:solidFill>
              <w14:schemeClr w14:val="tx1"/>
            </w14:solidFill>
          </w14:textFill>
        </w:rPr>
        <w:t>同时符合以下条件的，可申报研发人员奖励，由其合作区关联公司代为申报，并发放至个人：</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（1）主营业务为集成电路设计、制造、封装测试、设备（含核心零部件）、材料和EDA工具研发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（2）在澳门依法缴纳税款（包括但不限于所得补充税、营业税）或依法免税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并满足以下任意一条件：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①</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合作区企业直接持有该公司</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以上的股份（不含代持）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该公司直接持有合作区企业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以上的股份（不含代持）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该澳门公司与合作区企业（两家企业员工应至少有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不相同）同属于一个集团，且该集团分别持有（不含代持，包括穿透持股的方式）这两家企业各自</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以上的股份。</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申请本专题奖励的个人须同时满足以下条件：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（1）与所在单位签订三年以上全职劳动合同，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审核期间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劳动合同仍在有效期内。</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（2）至申报通知发布日，在所在单位连续缴纳社保及职业税不少于6个月。</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（3）在澳门关联公司属于研发岗位。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年在澳门关联公司取得并缴纳职业税的工资薪金收入超过30万元（含）。</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按照国家外汇管理局统计数据列表中标明的2025年12月31日汇率核算。</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年12月31日，在澳门或合作区实地办公的天数不少于年度总工作天数的一半。</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（6）同一申请人只能在同一单位申请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本实施细则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及第1/2022号执行委员会经济发展局规范性文件《横琴粤澳深度合作区促进集成电路产业发展若干措施实施细则》所规定的人才引进奖励。</w:t>
      </w:r>
    </w:p>
    <w:p>
      <w:pPr>
        <w:pStyle w:val="13"/>
        <w:ind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不限于购买EDA、IP、研发费专项审计报告等第三方出具的专业独立证明材料）。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）申报单位及其澳门关联公司的股权结构证明材料。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）澳门关联公司在澳门依法设立，依法缴纳税款或依法免税的证明。</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）澳门关联公司202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年度财务报表。</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）《澳门关联公司申请人才引进奖励研发人员汇总表》；相关人员个人身份证明或护照扫描件、劳动合同、学历学位证明和专业证明、202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月连续缴纳社保及职业税的记录证明、202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年12月31日在合作区或澳门实地办公的证明材料（出勤记录或其他）、202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年职业税纳税清单以及202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年度工资薪金收入证明材料。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）申报单位承诺将奖励资金发放至个人的承诺函。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）《合作区企业或科研机构申请人才引进奖励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13"/>
        <w:spacing w:line="560" w:lineRule="exact"/>
        <w:ind w:left="0" w:leftChars="0" w:firstLine="643"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4.支持标准</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对符合条件的个人，按照个人202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年度工资薪金收入总额给予奖励：</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（1）年薪30万元（含）</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50万元（不含），给予10万元奖励</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（2）年薪50万元以上的，给予15万元奖励。</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 xml:space="preserve">申请奖励的为澳门居民或拥有澳门高校学士及以上学位的，奖励标准按照上述标准的1.5倍予以执行。 </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同一企业申请享受本条奖励的研发人员人数不限。合作区企业的澳门关联公司人才奖励总额需算入该合作区企业的“获得奖补总金额”中。</w:t>
      </w:r>
    </w:p>
    <w:p>
      <w:pPr>
        <w:pStyle w:val="6"/>
        <w:ind w:left="0" w:leftChars="0" w:firstLine="643"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（十九）集成电路人才培训基地认定补贴（专题19）</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1.申报单位及条件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已通过合作区经济发展局认定并评估合格的集成电路人才培训基地依托单位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（1）统一社会信用代码证书等证明申报单位合法成立的文件。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（2）合作区经济发展局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集成电路人才培训基地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的批复文件等相关证明材料。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（3）设有专门组织机构负责培训业务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证明材料、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培训管理、财务管理、资产管理等制度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规范文件。</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4）2025年度</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集成电路人才培训基地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培训材料，包括但不限</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于</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体现专业学习和工作实践紧密结合的课程体系文件、培训签到表、培训照片、合作协议等。</w:t>
      </w:r>
    </w:p>
    <w:p>
      <w:pPr>
        <w:widowControl/>
        <w:numPr>
          <w:ilvl w:val="0"/>
          <w:numId w:val="0"/>
        </w:numPr>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面积不低于150平方米的固定培训场所</w:t>
      </w:r>
      <w:r>
        <w:rPr>
          <w:rFonts w:hint="default" w:ascii="Times New Roman" w:hAnsi="Times New Roman" w:eastAsia="仿宋_GB2312" w:cs="Times New Roman"/>
          <w:color w:val="000000" w:themeColor="text1"/>
          <w:kern w:val="0"/>
          <w:sz w:val="32"/>
          <w:szCs w:val="32"/>
          <w:highlight w:val="none"/>
          <w:lang w:eastAsia="zh-CN" w:bidi="ar"/>
          <w14:textFill>
            <w14:solidFill>
              <w14:schemeClr w14:val="tx1"/>
            </w14:solidFill>
          </w14:textFill>
        </w:rPr>
        <w:t>的</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租赁合同、</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与课程相匹配的软硬件设施</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租赁合同或购买合同</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w:t>
      </w:r>
    </w:p>
    <w:p>
      <w:pPr>
        <w:widowControl/>
        <w:numPr>
          <w:ilvl w:val="0"/>
          <w:numId w:val="0"/>
        </w:numPr>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2025年度基地拥有</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专、兼职教师队伍</w:t>
      </w:r>
      <w:r>
        <w:rPr>
          <w:rFonts w:hint="default" w:ascii="Times New Roman" w:hAnsi="Times New Roman" w:eastAsia="仿宋_GB2312" w:cs="Times New Roman"/>
          <w:color w:val="000000" w:themeColor="text1"/>
          <w:kern w:val="0"/>
          <w:sz w:val="32"/>
          <w:szCs w:val="32"/>
          <w:highlight w:val="none"/>
          <w:lang w:eastAsia="zh-CN" w:bidi="ar"/>
          <w14:textFill>
            <w14:solidFill>
              <w14:schemeClr w14:val="tx1"/>
            </w14:solidFill>
          </w14:textFill>
        </w:rPr>
        <w:t>的</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证明材料，包括但不限于师资情况介绍、聘书等（需有</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企业专业技术人员担任指导教师</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w:t>
      </w:r>
    </w:p>
    <w:p>
      <w:pPr>
        <w:widowControl/>
        <w:numPr>
          <w:ilvl w:val="0"/>
          <w:numId w:val="0"/>
        </w:numPr>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（7）</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申报单位与</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2家及以上大、中型企业</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就涉及共建人才培训基地签订</w:t>
      </w:r>
      <w:r>
        <w:rPr>
          <w:rFonts w:hint="default" w:ascii="Times New Roman" w:hAnsi="Times New Roman" w:eastAsia="仿宋_GB2312" w:cs="Times New Roman"/>
          <w:color w:val="000000" w:themeColor="text1"/>
          <w:kern w:val="0"/>
          <w:sz w:val="32"/>
          <w:szCs w:val="32"/>
          <w:highlight w:val="none"/>
          <w:lang w:eastAsia="zh-CN" w:bidi="ar"/>
          <w14:textFill>
            <w14:solidFill>
              <w14:schemeClr w14:val="tx1"/>
            </w14:solidFill>
          </w14:textFill>
        </w:rPr>
        <w:t>的</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合作</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协议。</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3.支持标准</w:t>
      </w:r>
    </w:p>
    <w:p>
      <w:pPr>
        <w:pStyle w:val="14"/>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对认定为合作区集成电路人才培训基地的单位，给予100万元补贴。</w:t>
      </w:r>
    </w:p>
    <w:p>
      <w:pPr>
        <w:pStyle w:val="6"/>
        <w:ind w:left="0" w:leftChars="0" w:firstLine="643"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（二十）集成电路人才培训基地培训奖励（专题20）</w:t>
      </w:r>
    </w:p>
    <w:p>
      <w:pPr>
        <w:pStyle w:val="30"/>
        <w:spacing w:line="560" w:lineRule="exact"/>
        <w:ind w:left="0" w:leftChars="0" w:firstLine="643"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pStyle w:val="30"/>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已通过合作区经济发展局认定并评估合格的集成电路人才培训基地依托单位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pStyle w:val="30"/>
        <w:spacing w:line="560" w:lineRule="exact"/>
        <w:ind w:firstLine="0"/>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经培训基地培训后，被合作区集成电路企业或科研机构聘用的研发人员，并与其签订全职劳动合同、在所在单位连续缴纳社保及个人所得税不少于6个月，且在合作区实地办公。</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（1）统一社会信用代码证书等证明申报单位合法成立的文件。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（2）合作区经济发展局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集成电路人才培训基地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的批复文件等相关证明材料。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经培训基地培训后，被合作区集成电路企业或科研机构聘用的研发人员汇总表、汇总表所列人员培训的证明材料（包括但不限于培训证书、培训课程表、现场培训照片、培训签到表、合作协议等），相关人员的身份证明或护照扫描件、劳动合同（或广东省/珠海市人力资源和社会保障网上服务平台打印的《就业登记信息》）、岗位证明、学历学位证明及专业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年12月31日实地办公证明（出勤记录或其他）、202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年个人社保或个人所得税纳税记录。</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pStyle w:val="14"/>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经培训基地培训后被合作区集成电路企业或科研机构聘用的研发人员，按照3万元/人的标准给予基地年度最高100万元奖励。</w:t>
      </w:r>
    </w:p>
    <w:p>
      <w:pPr>
        <w:pStyle w:val="6"/>
        <w:ind w:left="0" w:leftChars="0" w:firstLine="643"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（二十一）</w:t>
      </w:r>
      <w:r>
        <w:rPr>
          <w:rFonts w:hint="default" w:ascii="Times New Roman" w:hAnsi="Times New Roman" w:eastAsia="楷体_GB2312" w:cs="Times New Roman"/>
          <w:color w:val="000000" w:themeColor="text1"/>
          <w:lang w:val="en-US" w:eastAsia="zh-CN"/>
          <w14:textFill>
            <w14:solidFill>
              <w14:schemeClr w14:val="tx1"/>
            </w14:solidFill>
          </w14:textFill>
        </w:rPr>
        <w:t>企业委培</w:t>
      </w:r>
      <w:r>
        <w:rPr>
          <w:rFonts w:hint="default" w:ascii="Times New Roman" w:hAnsi="Times New Roman" w:eastAsia="楷体_GB2312" w:cs="Times New Roman"/>
          <w:color w:val="000000" w:themeColor="text1"/>
          <w14:textFill>
            <w14:solidFill>
              <w14:schemeClr w14:val="tx1"/>
            </w14:solidFill>
          </w14:textFill>
        </w:rPr>
        <w:t>补贴（专题21）</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pPr>
        <w:pStyle w:val="14"/>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pStyle w:val="14"/>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（1）采用合作区认定的集成电路人才培训基地开展集成电路技术技能培训。</w:t>
      </w:r>
    </w:p>
    <w:p>
      <w:pPr>
        <w:pStyle w:val="14"/>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（2）参加培训的人员与申报单位已签订全职劳动合同，且属于研发岗位。</w:t>
      </w:r>
    </w:p>
    <w:p>
      <w:pPr>
        <w:pStyle w:val="14"/>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（3）申报单位与培训基地依托单位无股权关系。</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不限于购买EDA、IP、研发费专项审计报告等第三方出具的专业独立证明材料）。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企业委培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补贴人员汇总表》，汇总表所列人员经合作区认定的集成电路人才培训基地开展集成电路技术技能培训的证明材料（包括但不限于培训证书、培训课程表、现场培训照片、培训签到表、合作协议等）、相关人员的身份证明或护照扫描件、劳动合同（或广东省/珠海市人力资源和社会保障网上服务平台打印的《就业登记信息》）、岗位证明、学历学位证明及专业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年12月31日实地办公证明（出勤记录或其他）、202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年个人社保或个人所得税纳税记录。</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）申报单位与培训基地依托单位无股权关系的承诺书。</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对符合条件的企业或科研机构，按照实际发生培训费用的50%给予年度最高100万元补贴。</w:t>
      </w:r>
    </w:p>
    <w:p>
      <w:pPr>
        <w:pStyle w:val="6"/>
        <w:ind w:left="0" w:leftChars="0" w:firstLine="643"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（二十二）实习补贴（专题22）</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集成电路企业、科研机构。</w:t>
      </w:r>
    </w:p>
    <w:p>
      <w:pPr>
        <w:pStyle w:val="14"/>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（1）申报单位与境内外高校在校学生签订实习合同。</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（2）实习生所学专业学科门类为理学、工学，且在申报单位属于技术岗位。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（3）单个实习生的实习补贴期不超过12个月。按自然月计算，当月合同天数不足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个自然日的，不计入补贴期。</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实习期内，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实习生在合作区实地办公的天数不低于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年度总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工作天数的60%。</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不限于购买EDA、IP、研发费专项审计报告等第三方出具的专业独立证明材料）。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（3）《申请实习补贴人员汇总表》；实习合同、实习人员学信网学籍证明、岗位证明、202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年12月31日在合作区实地办公的证明材料（出勤记录或其他）。</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对202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年接收境内外高校集成电路相关专业在校学生实习的企业或科研机构，</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按以下标准给予年度最高100万元补贴。</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若实习生为非澳门居民，按</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5000元/人/月</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的标准</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widowControl/>
        <w:spacing w:line="560" w:lineRule="exact"/>
        <w:ind w:firstLine="640" w:firstLineChars="200"/>
        <w:jc w:val="both"/>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若实习生为澳门居民，按</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6000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/人/月</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的标准。</w:t>
      </w:r>
    </w:p>
    <w:p>
      <w:pPr>
        <w:pStyle w:val="6"/>
        <w:ind w:firstLine="0"/>
        <w:rPr>
          <w:rFonts w:hint="default" w:ascii="Times New Roman" w:hAnsi="Times New Roman" w:eastAsia="楷体_GB2312" w:cs="Times New Roman"/>
          <w:b/>
          <w:bCs/>
          <w:color w:val="000000" w:themeColor="text1"/>
          <w:sz w:val="32"/>
          <w:szCs w:val="24"/>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24"/>
          <w:highlight w:val="none"/>
          <w14:textFill>
            <w14:solidFill>
              <w14:schemeClr w14:val="tx1"/>
            </w14:solidFill>
          </w14:textFill>
        </w:rPr>
        <w:t>（二十三）</w:t>
      </w:r>
      <w:r>
        <w:rPr>
          <w:rFonts w:hint="default" w:ascii="Times New Roman" w:hAnsi="Times New Roman" w:eastAsia="楷体_GB2312" w:cs="Times New Roman"/>
          <w:color w:val="000000" w:themeColor="text1"/>
          <w:highlight w:val="none"/>
          <w14:textFill>
            <w14:solidFill>
              <w14:schemeClr w14:val="tx1"/>
            </w14:solidFill>
          </w14:textFill>
        </w:rPr>
        <w:t>公共服务平台补贴</w:t>
      </w:r>
      <w:r>
        <w:rPr>
          <w:rFonts w:hint="default" w:ascii="Times New Roman" w:hAnsi="Times New Roman" w:eastAsia="楷体_GB2312" w:cs="Times New Roman"/>
          <w:b/>
          <w:bCs/>
          <w:color w:val="000000" w:themeColor="text1"/>
          <w:sz w:val="32"/>
          <w:szCs w:val="24"/>
          <w:highlight w:val="none"/>
          <w14:textFill>
            <w14:solidFill>
              <w14:schemeClr w14:val="tx1"/>
            </w14:solidFill>
          </w14:textFill>
        </w:rPr>
        <w:t>（专题23）</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1.申报单位及条件</w:t>
      </w:r>
    </w:p>
    <w:p>
      <w:pPr>
        <w:pStyle w:val="30"/>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已通过合作区经济发展局认定的</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公共服务平台</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依托单位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.申报材料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（1）统一社会信用代码证书等证明申报单位合法成立的文件。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（2）合作区经济发展局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公共服务平台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的批复文件等相关证明材料。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申请单位需提供服务平台仪器设备（含软件）的投资证明，包括年度审计报告或专项审计报告或税务鉴证报告、采购合同、发票等。</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3.支持标准</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对符合条件的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企业或者机构，按照平台仪器设备（含软件）实际投入费用的</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给予年度最高</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500万</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元补贴。</w:t>
      </w:r>
    </w:p>
    <w:p>
      <w:pPr>
        <w:pStyle w:val="6"/>
        <w:widowControl/>
        <w:ind w:firstLine="643" w:firstLineChars="200"/>
        <w:jc w:val="left"/>
        <w:rPr>
          <w:rFonts w:hint="default" w:ascii="Times New Roman" w:hAnsi="Times New Roman" w:eastAsia="楷体_GB2312" w:cs="Times New Roman"/>
          <w:color w:val="000000" w:themeColor="text1"/>
          <w:highlight w:val="none"/>
          <w14:textFill>
            <w14:solidFill>
              <w14:schemeClr w14:val="tx1"/>
            </w14:solidFill>
          </w14:textFill>
        </w:rPr>
      </w:pPr>
      <w:r>
        <w:rPr>
          <w:rFonts w:hint="default" w:ascii="Times New Roman" w:hAnsi="Times New Roman" w:eastAsia="楷体_GB2312" w:cs="Times New Roman"/>
          <w:color w:val="000000" w:themeColor="text1"/>
          <w:highlight w:val="none"/>
          <w14:textFill>
            <w14:solidFill>
              <w14:schemeClr w14:val="tx1"/>
            </w14:solidFill>
          </w14:textFill>
        </w:rPr>
        <w:t>（二十四）园区运营奖励（专题24）</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widowControl/>
        <w:spacing w:line="560" w:lineRule="exact"/>
        <w:ind w:firstLine="640" w:firstLineChars="200"/>
        <w:jc w:val="both"/>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已通过合作区经济发展局备案的集成电路专业园区运营机构。</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widowControl/>
        <w:spacing w:line="560"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bookmarkStart w:id="2" w:name="OLE_LINK23"/>
      <w:bookmarkStart w:id="3" w:name="OLE_LINK24"/>
      <w:r>
        <w:rPr>
          <w:rFonts w:hint="default" w:ascii="Times New Roman" w:hAnsi="Times New Roman" w:eastAsia="仿宋_GB2312" w:cs="Times New Roman"/>
          <w:color w:val="000000" w:themeColor="text1"/>
          <w:kern w:val="0"/>
          <w:sz w:val="32"/>
          <w:szCs w:val="32"/>
          <w14:textFill>
            <w14:solidFill>
              <w14:schemeClr w14:val="tx1"/>
            </w14:solidFill>
          </w14:textFill>
        </w:rPr>
        <w:t>自专业园区备案年度起，</w:t>
      </w:r>
      <w:bookmarkStart w:id="4" w:name="OLE_LINK22"/>
      <w:r>
        <w:rPr>
          <w:rFonts w:hint="default" w:ascii="Times New Roman" w:hAnsi="Times New Roman" w:eastAsia="仿宋_GB2312" w:cs="Times New Roman"/>
          <w:color w:val="000000" w:themeColor="text1"/>
          <w:kern w:val="0"/>
          <w:sz w:val="32"/>
          <w:szCs w:val="32"/>
          <w14:textFill>
            <w14:solidFill>
              <w14:schemeClr w14:val="tx1"/>
            </w14:solidFill>
          </w14:textFill>
        </w:rPr>
        <w:t>园区运营机构须</w:t>
      </w:r>
      <w:bookmarkStart w:id="5" w:name="OLE_LINK21"/>
      <w:bookmarkStart w:id="6" w:name="OLE_LINK20"/>
      <w:r>
        <w:rPr>
          <w:rFonts w:hint="default" w:ascii="Times New Roman" w:hAnsi="Times New Roman" w:eastAsia="仿宋_GB2312" w:cs="Times New Roman"/>
          <w:color w:val="000000" w:themeColor="text1"/>
          <w:kern w:val="0"/>
          <w:sz w:val="32"/>
          <w:szCs w:val="32"/>
          <w14:textFill>
            <w14:solidFill>
              <w14:schemeClr w14:val="tx1"/>
            </w14:solidFill>
          </w14:textFill>
        </w:rPr>
        <w:t>每年组织合作区企业参与国内外集成电路专业展会不少于三场</w:t>
      </w:r>
      <w:bookmarkEnd w:id="4"/>
      <w:bookmarkEnd w:id="5"/>
      <w:bookmarkEnd w:id="6"/>
      <w:r>
        <w:rPr>
          <w:rFonts w:hint="default" w:ascii="Times New Roman" w:hAnsi="Times New Roman" w:eastAsia="仿宋_GB2312" w:cs="Times New Roman"/>
          <w:color w:val="000000" w:themeColor="text1"/>
          <w:kern w:val="0"/>
          <w:sz w:val="32"/>
          <w:szCs w:val="32"/>
          <w14:textFill>
            <w14:solidFill>
              <w14:schemeClr w14:val="tx1"/>
            </w14:solidFill>
          </w14:textFill>
        </w:rPr>
        <w:t>。</w:t>
      </w:r>
      <w:bookmarkEnd w:id="2"/>
      <w:bookmarkEnd w:id="3"/>
      <w:r>
        <w:rPr>
          <w:rFonts w:hint="default" w:ascii="Times New Roman" w:hAnsi="Times New Roman" w:eastAsia="仿宋_GB2312" w:cs="Times New Roman"/>
          <w:color w:val="000000" w:themeColor="text1"/>
          <w:kern w:val="0"/>
          <w:sz w:val="32"/>
          <w:szCs w:val="32"/>
          <w14:textFill>
            <w14:solidFill>
              <w14:schemeClr w14:val="tx1"/>
            </w14:solidFill>
          </w14:textFill>
        </w:rPr>
        <w:t>在此基础上，每当园区增量指标满足以下条件之一时：</w:t>
      </w:r>
    </w:p>
    <w:p>
      <w:pPr>
        <w:widowControl/>
        <w:spacing w:line="560"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（1）在园区实地办公且经备案</w:t>
      </w:r>
      <w:r>
        <w:rPr>
          <w:rFonts w:hint="default" w:ascii="Times New Roman" w:hAnsi="Times New Roman" w:eastAsia="仿宋_GB2312" w:cs="Times New Roman"/>
          <w:b w:val="0"/>
          <w:bCs/>
          <w:color w:val="000000" w:themeColor="text1"/>
          <w:kern w:val="0"/>
          <w:sz w:val="32"/>
          <w:szCs w:val="32"/>
          <w14:textFill>
            <w14:solidFill>
              <w14:schemeClr w14:val="tx1"/>
            </w14:solidFill>
          </w14:textFill>
        </w:rPr>
        <w:t>（奖补登记）</w:t>
      </w:r>
      <w:r>
        <w:rPr>
          <w:rFonts w:hint="default" w:ascii="Times New Roman" w:hAnsi="Times New Roman" w:eastAsia="仿宋_GB2312" w:cs="Times New Roman"/>
          <w:color w:val="000000" w:themeColor="text1"/>
          <w:kern w:val="0"/>
          <w:sz w:val="32"/>
          <w:szCs w:val="32"/>
          <w14:textFill>
            <w14:solidFill>
              <w14:schemeClr w14:val="tx1"/>
            </w14:solidFill>
          </w14:textFill>
        </w:rPr>
        <w:t>的集成电路企业，新增营业收入（</w:t>
      </w:r>
      <w:r>
        <w:rPr>
          <w:rFonts w:hint="default" w:ascii="Times New Roman" w:hAnsi="Times New Roman" w:eastAsia="仿宋_GB2312" w:cs="Times New Roman"/>
          <w:b w:val="0"/>
          <w:bCs/>
          <w:color w:val="000000" w:themeColor="text1"/>
          <w:kern w:val="0"/>
          <w:sz w:val="32"/>
          <w:szCs w:val="32"/>
          <w14:textFill>
            <w14:solidFill>
              <w14:schemeClr w14:val="tx1"/>
            </w14:solidFill>
          </w14:textFill>
        </w:rPr>
        <w:t>或</w:t>
      </w:r>
      <w:r>
        <w:rPr>
          <w:rFonts w:hint="default" w:ascii="Times New Roman" w:hAnsi="Times New Roman" w:eastAsia="仿宋_GB2312" w:cs="Times New Roman"/>
          <w:color w:val="000000" w:themeColor="text1"/>
          <w:kern w:val="0"/>
          <w:sz w:val="32"/>
          <w:szCs w:val="32"/>
          <w14:textFill>
            <w14:solidFill>
              <w14:schemeClr w14:val="tx1"/>
            </w14:solidFill>
          </w14:textFill>
        </w:rPr>
        <w:t>产值）十亿元。</w:t>
      </w:r>
    </w:p>
    <w:p>
      <w:pPr>
        <w:widowControl/>
        <w:spacing w:line="560"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（2）新增在园区实地办公的企业员工不少于三百五十人，其中研发人员不少于二百人，年薪八十万元以上的研发人员不少于二十人。</w:t>
      </w:r>
    </w:p>
    <w:p>
      <w:pPr>
        <w:widowControl/>
        <w:spacing w:line="560"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（3）新增获得申请单位自有或者合作的投资资金投资的园区企业数量不少于五个。</w:t>
      </w:r>
    </w:p>
    <w:p>
      <w:pPr>
        <w:widowControl/>
        <w:spacing w:line="560"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注：首次申报本条奖励的申请单位，以备案当年营业收入、实地办公企业员工及研发人员数量为基数；</w:t>
      </w:r>
      <w:r>
        <w:rPr>
          <w:rFonts w:hint="default" w:ascii="Times New Roman" w:hAnsi="Times New Roman" w:eastAsia="仿宋_GB2312" w:cs="Times New Roman"/>
          <w:b w:val="0"/>
          <w:bCs/>
          <w:color w:val="000000" w:themeColor="text1"/>
          <w:kern w:val="0"/>
          <w:sz w:val="32"/>
          <w:szCs w:val="32"/>
          <w14:textFill>
            <w14:solidFill>
              <w14:schemeClr w14:val="tx1"/>
            </w14:solidFill>
          </w14:textFill>
        </w:rPr>
        <w:t>获得首次奖励后，</w:t>
      </w:r>
      <w:r>
        <w:rPr>
          <w:rFonts w:hint="default" w:ascii="Times New Roman" w:hAnsi="Times New Roman" w:eastAsia="仿宋_GB2312" w:cs="Times New Roman"/>
          <w:color w:val="000000" w:themeColor="text1"/>
          <w:kern w:val="0"/>
          <w:sz w:val="32"/>
          <w:szCs w:val="32"/>
          <w14:textFill>
            <w14:solidFill>
              <w14:schemeClr w14:val="tx1"/>
            </w14:solidFill>
          </w14:textFill>
        </w:rPr>
        <w:t>再次申报本条奖励的单位，以上一次享受奖励时申报的数据为基数。</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（1）统一社会信用代码证书等证明申报单位合法成立的文件。</w:t>
      </w:r>
    </w:p>
    <w:p>
      <w:pPr>
        <w:widowControl/>
        <w:spacing w:line="560" w:lineRule="exact"/>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w:t>
      </w:r>
      <w:bookmarkStart w:id="7" w:name="OLE_LINK29"/>
      <w:r>
        <w:rPr>
          <w:rFonts w:hint="default" w:ascii="Times New Roman" w:hAnsi="Times New Roman" w:eastAsia="仿宋_GB2312" w:cs="Times New Roman"/>
          <w:color w:val="000000" w:themeColor="text1"/>
          <w:sz w:val="32"/>
          <w:szCs w:val="32"/>
          <w14:textFill>
            <w14:solidFill>
              <w14:schemeClr w14:val="tx1"/>
            </w14:solidFill>
          </w14:textFill>
        </w:rPr>
        <w:t>在园区内实地办公企业汇总表（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园区运营奖励专题汇总表</w:t>
      </w:r>
      <w:r>
        <w:rPr>
          <w:rFonts w:hint="default" w:ascii="Times New Roman" w:hAnsi="Times New Roman" w:eastAsia="仿宋_GB2312" w:cs="Times New Roman"/>
          <w:color w:val="000000" w:themeColor="text1"/>
          <w:sz w:val="32"/>
          <w:szCs w:val="32"/>
          <w14:textFill>
            <w14:solidFill>
              <w14:schemeClr w14:val="tx1"/>
            </w14:solidFill>
          </w14:textFill>
        </w:rPr>
        <w:t>表3）</w:t>
      </w:r>
      <w:bookmarkEnd w:id="7"/>
      <w:r>
        <w:rPr>
          <w:rFonts w:hint="default" w:ascii="Times New Roman" w:hAnsi="Times New Roman" w:eastAsia="仿宋_GB2312" w:cs="Times New Roman"/>
          <w:color w:val="000000" w:themeColor="text1"/>
          <w:sz w:val="32"/>
          <w:szCs w:val="32"/>
          <w14:textFill>
            <w14:solidFill>
              <w14:schemeClr w14:val="tx1"/>
            </w14:solidFill>
          </w14:textFill>
        </w:rPr>
        <w:t>，</w:t>
      </w:r>
      <w:bookmarkStart w:id="8" w:name="OLE_LINK19"/>
      <w:bookmarkStart w:id="9" w:name="OLE_LINK28"/>
      <w:r>
        <w:rPr>
          <w:rFonts w:hint="default" w:ascii="Times New Roman" w:hAnsi="Times New Roman" w:eastAsia="仿宋_GB2312" w:cs="Times New Roman"/>
          <w:color w:val="000000" w:themeColor="text1"/>
          <w:sz w:val="32"/>
          <w:szCs w:val="32"/>
          <w14:textFill>
            <w14:solidFill>
              <w14:schemeClr w14:val="tx1"/>
            </w14:solidFill>
          </w14:textFill>
        </w:rPr>
        <w:t>园区企业的“一照一码”营业执照，准予变更登记（备案）通知书（若相关工商信息有变更的需提供，复印件并加盖单位公章）</w:t>
      </w:r>
      <w:bookmarkEnd w:id="8"/>
      <w:bookmarkEnd w:id="9"/>
      <w:r>
        <w:rPr>
          <w:rFonts w:hint="default" w:ascii="Times New Roman" w:hAnsi="Times New Roman" w:eastAsia="仿宋_GB2312" w:cs="Times New Roman"/>
          <w:color w:val="000000" w:themeColor="text1"/>
          <w:sz w:val="32"/>
          <w:szCs w:val="32"/>
          <w14:textFill>
            <w14:solidFill>
              <w14:schemeClr w14:val="tx1"/>
            </w14:solidFill>
          </w14:textFill>
        </w:rPr>
        <w:t>。</w:t>
      </w:r>
    </w:p>
    <w:p>
      <w:pPr>
        <w:widowControl/>
        <w:spacing w:line="560" w:lineRule="exact"/>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w:t>
      </w:r>
      <w:bookmarkStart w:id="10" w:name="OLE_LINK31"/>
      <w:bookmarkStart w:id="11" w:name="OLE_LINK32"/>
      <w:r>
        <w:rPr>
          <w:rFonts w:hint="default" w:ascii="Times New Roman" w:hAnsi="Times New Roman" w:eastAsia="仿宋_GB2312" w:cs="Times New Roman"/>
          <w:color w:val="000000" w:themeColor="text1"/>
          <w:sz w:val="32"/>
          <w:szCs w:val="32"/>
          <w14:textFill>
            <w14:solidFill>
              <w14:schemeClr w14:val="tx1"/>
            </w14:solidFill>
          </w14:textFill>
        </w:rPr>
        <w:t>在园区实地办公企业营业收入（产值）汇总表（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园区运营奖励专题汇总表</w:t>
      </w:r>
      <w:r>
        <w:rPr>
          <w:rFonts w:hint="default" w:ascii="Times New Roman" w:hAnsi="Times New Roman" w:eastAsia="仿宋_GB2312" w:cs="Times New Roman"/>
          <w:color w:val="000000" w:themeColor="text1"/>
          <w:sz w:val="32"/>
          <w:szCs w:val="32"/>
          <w14:textFill>
            <w14:solidFill>
              <w14:schemeClr w14:val="tx1"/>
            </w14:solidFill>
          </w14:textFill>
        </w:rPr>
        <w:t>表4）</w:t>
      </w:r>
      <w:bookmarkEnd w:id="10"/>
      <w:bookmarkEnd w:id="11"/>
      <w:r>
        <w:rPr>
          <w:rFonts w:hint="default" w:ascii="Times New Roman" w:hAnsi="Times New Roman" w:eastAsia="仿宋_GB2312" w:cs="Times New Roman"/>
          <w:color w:val="000000" w:themeColor="text1"/>
          <w:sz w:val="32"/>
          <w:szCs w:val="32"/>
          <w14:textFill>
            <w14:solidFill>
              <w14:schemeClr w14:val="tx1"/>
            </w14:solidFill>
          </w14:textFill>
        </w:rPr>
        <w:t>，</w:t>
      </w:r>
      <w:bookmarkStart w:id="12" w:name="OLE_LINK39"/>
      <w:bookmarkStart w:id="13" w:name="OLE_LINK38"/>
      <w:r>
        <w:rPr>
          <w:rFonts w:hint="default" w:ascii="Times New Roman" w:hAnsi="Times New Roman" w:eastAsia="仿宋_GB2312" w:cs="Times New Roman"/>
          <w:color w:val="000000" w:themeColor="text1"/>
          <w:sz w:val="32"/>
          <w:szCs w:val="32"/>
          <w14:textFill>
            <w14:solidFill>
              <w14:schemeClr w14:val="tx1"/>
            </w14:solidFill>
          </w14:textFill>
        </w:rPr>
        <w:t>园区备案当年以及申报年度的年度财务审计报告、纳税申报表</w:t>
      </w:r>
      <w:r>
        <w:rPr>
          <w:rFonts w:hint="default" w:ascii="Times New Roman" w:hAnsi="Times New Roman" w:eastAsia="仿宋_GB2312" w:cs="Times New Roman"/>
          <w:bCs/>
          <w:color w:val="000000" w:themeColor="text1"/>
          <w:sz w:val="32"/>
          <w:szCs w:val="32"/>
          <w14:textFill>
            <w14:solidFill>
              <w14:schemeClr w14:val="tx1"/>
            </w14:solidFill>
          </w14:textFill>
        </w:rPr>
        <w:t>(园区增量指标满足条件(1)的必须提供)</w:t>
      </w:r>
      <w:r>
        <w:rPr>
          <w:rFonts w:hint="default" w:ascii="Times New Roman" w:hAnsi="Times New Roman" w:eastAsia="仿宋_GB2312" w:cs="Times New Roman"/>
          <w:color w:val="000000" w:themeColor="text1"/>
          <w:sz w:val="32"/>
          <w:szCs w:val="32"/>
          <w14:textFill>
            <w14:solidFill>
              <w14:schemeClr w14:val="tx1"/>
            </w14:solidFill>
          </w14:textFill>
        </w:rPr>
        <w:t>。</w:t>
      </w:r>
      <w:bookmarkEnd w:id="12"/>
      <w:bookmarkEnd w:id="13"/>
    </w:p>
    <w:p>
      <w:pPr>
        <w:pStyle w:val="8"/>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4</w:t>
      </w:r>
      <w:r>
        <w:rPr>
          <w:rFonts w:hint="default" w:ascii="Times New Roman" w:hAnsi="Times New Roman" w:eastAsia="仿宋_GB2312" w:cs="Times New Roman"/>
          <w:bCs/>
          <w:color w:val="000000" w:themeColor="text1"/>
          <w:sz w:val="32"/>
          <w:szCs w:val="32"/>
          <w14:textFill>
            <w14:solidFill>
              <w14:schemeClr w14:val="tx1"/>
            </w14:solidFill>
          </w14:textFill>
        </w:rPr>
        <w:t>）</w:t>
      </w:r>
      <w:bookmarkStart w:id="14" w:name="OLE_LINK2"/>
      <w:bookmarkStart w:id="15" w:name="OLE_LINK3"/>
      <w:bookmarkStart w:id="16" w:name="OLE_LINK1"/>
      <w:bookmarkStart w:id="17" w:name="OLE_LINK41"/>
      <w:bookmarkStart w:id="18" w:name="OLE_LINK42"/>
      <w:r>
        <w:rPr>
          <w:rFonts w:hint="default" w:ascii="Times New Roman" w:hAnsi="Times New Roman" w:eastAsia="仿宋_GB2312" w:cs="Times New Roman"/>
          <w:color w:val="000000" w:themeColor="text1"/>
          <w:sz w:val="32"/>
          <w:szCs w:val="32"/>
          <w14:textFill>
            <w14:solidFill>
              <w14:schemeClr w14:val="tx1"/>
            </w14:solidFill>
          </w14:textFill>
        </w:rPr>
        <w:t>新增</w:t>
      </w:r>
      <w:bookmarkEnd w:id="14"/>
      <w:bookmarkEnd w:id="15"/>
      <w:r>
        <w:rPr>
          <w:rFonts w:hint="default" w:ascii="Times New Roman" w:hAnsi="Times New Roman" w:eastAsia="仿宋_GB2312" w:cs="Times New Roman"/>
          <w:bCs/>
          <w:color w:val="000000" w:themeColor="text1"/>
          <w:sz w:val="32"/>
          <w:szCs w:val="32"/>
          <w14:textFill>
            <w14:solidFill>
              <w14:schemeClr w14:val="tx1"/>
            </w14:solidFill>
          </w14:textFill>
        </w:rPr>
        <w:t>在园区实地办公的企业员工汇总表</w:t>
      </w:r>
      <w:bookmarkEnd w:id="16"/>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园区运营奖励专题汇总表</w:t>
      </w:r>
      <w:r>
        <w:rPr>
          <w:rFonts w:hint="default" w:ascii="Times New Roman" w:hAnsi="Times New Roman" w:eastAsia="仿宋_GB2312" w:cs="Times New Roman"/>
          <w:bCs/>
          <w:color w:val="000000" w:themeColor="text1"/>
          <w:sz w:val="32"/>
          <w:szCs w:val="32"/>
          <w14:textFill>
            <w14:solidFill>
              <w14:schemeClr w14:val="tx1"/>
            </w14:solidFill>
          </w14:textFill>
        </w:rPr>
        <w:t>表5）</w:t>
      </w:r>
      <w:bookmarkEnd w:id="17"/>
      <w:bookmarkEnd w:id="18"/>
      <w:r>
        <w:rPr>
          <w:rFonts w:hint="default" w:ascii="Times New Roman" w:hAnsi="Times New Roman" w:eastAsia="仿宋_GB2312" w:cs="Times New Roman"/>
          <w:bCs/>
          <w:color w:val="000000" w:themeColor="text1"/>
          <w:sz w:val="32"/>
          <w:szCs w:val="32"/>
          <w14:textFill>
            <w14:solidFill>
              <w14:schemeClr w14:val="tx1"/>
            </w14:solidFill>
          </w14:textFill>
        </w:rPr>
        <w:t>，汇总表所列人员身份证明扫描件、实地办公证明（出勤记录或其他）、劳动合同</w:t>
      </w:r>
      <w:bookmarkStart w:id="19" w:name="OLE_LINK43"/>
      <w:bookmarkStart w:id="20" w:name="OLE_LINK44"/>
      <w:r>
        <w:rPr>
          <w:rFonts w:hint="default" w:ascii="Times New Roman" w:hAnsi="Times New Roman" w:eastAsia="仿宋_GB2312" w:cs="Times New Roman"/>
          <w:bCs/>
          <w:color w:val="000000" w:themeColor="text1"/>
          <w:sz w:val="32"/>
          <w:szCs w:val="32"/>
          <w14:textFill>
            <w14:solidFill>
              <w14:schemeClr w14:val="tx1"/>
            </w14:solidFill>
          </w14:textFill>
        </w:rPr>
        <w:t>、在本地缴纳社保或个税证明</w:t>
      </w:r>
      <w:bookmarkEnd w:id="19"/>
      <w:bookmarkEnd w:id="20"/>
      <w:bookmarkStart w:id="21" w:name="OLE_LINK4"/>
      <w:bookmarkStart w:id="22" w:name="OLE_LINK5"/>
      <w:r>
        <w:rPr>
          <w:rFonts w:hint="default" w:ascii="Times New Roman" w:hAnsi="Times New Roman" w:eastAsia="仿宋_GB2312" w:cs="Times New Roman"/>
          <w:bCs/>
          <w:color w:val="000000" w:themeColor="text1"/>
          <w:sz w:val="32"/>
          <w:szCs w:val="32"/>
          <w14:textFill>
            <w14:solidFill>
              <w14:schemeClr w14:val="tx1"/>
            </w14:solidFill>
          </w14:textFill>
        </w:rPr>
        <w:t>(园区增量指标满足条件(</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14:textFill>
            <w14:solidFill>
              <w14:schemeClr w14:val="tx1"/>
            </w14:solidFill>
          </w14:textFill>
        </w:rPr>
        <w:t>)的必须提供)。</w:t>
      </w:r>
    </w:p>
    <w:p>
      <w:pPr>
        <w:pStyle w:val="8"/>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14:textFill>
            <w14:solidFill>
              <w14:schemeClr w14:val="tx1"/>
            </w14:solidFill>
          </w14:textFill>
        </w:rPr>
        <w:t>）</w:t>
      </w:r>
      <w:bookmarkStart w:id="23" w:name="OLE_LINK46"/>
      <w:r>
        <w:rPr>
          <w:rFonts w:hint="default" w:ascii="Times New Roman" w:hAnsi="Times New Roman" w:eastAsia="仿宋_GB2312" w:cs="Times New Roman"/>
          <w:color w:val="000000" w:themeColor="text1"/>
          <w:sz w:val="32"/>
          <w:szCs w:val="32"/>
          <w14:textFill>
            <w14:solidFill>
              <w14:schemeClr w14:val="tx1"/>
            </w14:solidFill>
          </w14:textFill>
        </w:rPr>
        <w:t>新增</w:t>
      </w:r>
      <w:r>
        <w:rPr>
          <w:rFonts w:hint="default" w:ascii="Times New Roman" w:hAnsi="Times New Roman" w:eastAsia="仿宋_GB2312" w:cs="Times New Roman"/>
          <w:bCs/>
          <w:color w:val="000000" w:themeColor="text1"/>
          <w:sz w:val="32"/>
          <w:szCs w:val="32"/>
          <w14:textFill>
            <w14:solidFill>
              <w14:schemeClr w14:val="tx1"/>
            </w14:solidFill>
          </w14:textFill>
        </w:rPr>
        <w:t>研发人员汇总表（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园区运营奖励专题汇总表</w:t>
      </w:r>
      <w:r>
        <w:rPr>
          <w:rFonts w:hint="default" w:ascii="Times New Roman" w:hAnsi="Times New Roman" w:eastAsia="仿宋_GB2312" w:cs="Times New Roman"/>
          <w:bCs/>
          <w:color w:val="000000" w:themeColor="text1"/>
          <w:sz w:val="32"/>
          <w:szCs w:val="32"/>
          <w14:textFill>
            <w14:solidFill>
              <w14:schemeClr w14:val="tx1"/>
            </w14:solidFill>
          </w14:textFill>
        </w:rPr>
        <w:t>表6）</w:t>
      </w:r>
      <w:bookmarkEnd w:id="21"/>
      <w:bookmarkEnd w:id="22"/>
      <w:bookmarkEnd w:id="23"/>
      <w:r>
        <w:rPr>
          <w:rFonts w:hint="default" w:ascii="Times New Roman" w:hAnsi="Times New Roman" w:eastAsia="仿宋_GB2312" w:cs="Times New Roman"/>
          <w:bCs/>
          <w:color w:val="000000" w:themeColor="text1"/>
          <w:sz w:val="32"/>
          <w:szCs w:val="32"/>
          <w14:textFill>
            <w14:solidFill>
              <w14:schemeClr w14:val="tx1"/>
            </w14:solidFill>
          </w14:textFill>
        </w:rPr>
        <w:t>，岗位证明、汇总表所列人员学历学位证明及专业证明(园区增量指标满足条件(</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14:textFill>
            <w14:solidFill>
              <w14:schemeClr w14:val="tx1"/>
            </w14:solidFill>
          </w14:textFill>
        </w:rPr>
        <w:t>)的必须提供)。</w:t>
      </w:r>
    </w:p>
    <w:p>
      <w:pPr>
        <w:spacing w:line="579" w:lineRule="exact"/>
        <w:ind w:firstLine="640" w:firstLineChars="200"/>
        <w:rPr>
          <w:rFonts w:hint="default" w:ascii="Times New Roman" w:hAnsi="Times New Roman" w:eastAsia="仿宋_GB2312" w:cs="Times New Roman"/>
          <w:color w:val="000000" w:themeColor="text1"/>
          <w:spacing w:val="8"/>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w:t>
      </w:r>
      <w:bookmarkStart w:id="24" w:name="OLE_LINK6"/>
      <w:bookmarkStart w:id="25" w:name="OLE_LINK7"/>
      <w:bookmarkStart w:id="26" w:name="OLE_LINK48"/>
      <w:bookmarkStart w:id="27" w:name="OLE_LINK47"/>
      <w:r>
        <w:rPr>
          <w:rFonts w:hint="default" w:ascii="Times New Roman" w:hAnsi="Times New Roman" w:eastAsia="仿宋_GB2312" w:cs="Times New Roman"/>
          <w:color w:val="000000" w:themeColor="text1"/>
          <w:sz w:val="32"/>
          <w:szCs w:val="32"/>
          <w14:textFill>
            <w14:solidFill>
              <w14:schemeClr w14:val="tx1"/>
            </w14:solidFill>
          </w14:textFill>
        </w:rPr>
        <w:t>新增年薪八十万以上的</w:t>
      </w:r>
      <w:r>
        <w:rPr>
          <w:rFonts w:hint="default" w:ascii="Times New Roman" w:hAnsi="Times New Roman" w:eastAsia="仿宋_GB2312" w:cs="Times New Roman"/>
          <w:bCs/>
          <w:color w:val="000000" w:themeColor="text1"/>
          <w:sz w:val="32"/>
          <w:szCs w:val="32"/>
          <w14:textFill>
            <w14:solidFill>
              <w14:schemeClr w14:val="tx1"/>
            </w14:solidFill>
          </w14:textFill>
        </w:rPr>
        <w:t>研发人员汇总表</w:t>
      </w:r>
      <w:bookmarkEnd w:id="24"/>
      <w:bookmarkEnd w:id="25"/>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园区运营奖励专题汇总表</w:t>
      </w:r>
      <w:r>
        <w:rPr>
          <w:rFonts w:hint="default" w:ascii="Times New Roman" w:hAnsi="Times New Roman" w:eastAsia="仿宋_GB2312" w:cs="Times New Roman"/>
          <w:bCs/>
          <w:color w:val="000000" w:themeColor="text1"/>
          <w:sz w:val="32"/>
          <w:szCs w:val="32"/>
          <w14:textFill>
            <w14:solidFill>
              <w14:schemeClr w14:val="tx1"/>
            </w14:solidFill>
          </w14:textFill>
        </w:rPr>
        <w:t>表7）</w:t>
      </w:r>
      <w:bookmarkEnd w:id="26"/>
      <w:bookmarkEnd w:id="27"/>
      <w:r>
        <w:rPr>
          <w:rFonts w:hint="default" w:ascii="Times New Roman" w:hAnsi="Times New Roman" w:eastAsia="仿宋_GB2312" w:cs="Times New Roman"/>
          <w:bCs/>
          <w:color w:val="000000" w:themeColor="text1"/>
          <w:sz w:val="32"/>
          <w:szCs w:val="32"/>
          <w14:textFill>
            <w14:solidFill>
              <w14:schemeClr w14:val="tx1"/>
            </w14:solidFill>
          </w14:textFill>
        </w:rPr>
        <w:t>，</w:t>
      </w:r>
      <w:bookmarkStart w:id="28" w:name="OLE_LINK49"/>
      <w:bookmarkStart w:id="29" w:name="OLE_LINK50"/>
      <w:r>
        <w:rPr>
          <w:rFonts w:hint="default" w:ascii="Times New Roman" w:hAnsi="Times New Roman" w:eastAsia="仿宋_GB2312" w:cs="Times New Roman"/>
          <w:color w:val="000000" w:themeColor="text1"/>
          <w:spacing w:val="8"/>
          <w:sz w:val="32"/>
          <w:szCs w:val="32"/>
          <w:shd w:val="clear" w:color="auto" w:fill="FFFFFF"/>
          <w14:textFill>
            <w14:solidFill>
              <w14:schemeClr w14:val="tx1"/>
            </w14:solidFill>
          </w14:textFill>
        </w:rPr>
        <w:t>所属期为2025年度的个人所得税纳税记录（原《税收完税证明》）以及2025年度个人所得税企业纳税材料（企业进入“自然人电子税务局（扣缴端）”代扣代缴板块的“查询统计”，点击“个人扣缴明细查询”，下载“综合所得申报表”，加盖单位公章。）</w:t>
      </w:r>
      <w:r>
        <w:rPr>
          <w:rFonts w:hint="default" w:ascii="Times New Roman" w:hAnsi="Times New Roman" w:eastAsia="仿宋_GB2312" w:cs="Times New Roman"/>
          <w:bCs/>
          <w:color w:val="000000" w:themeColor="text1"/>
          <w:sz w:val="32"/>
          <w:szCs w:val="32"/>
          <w14:textFill>
            <w14:solidFill>
              <w14:schemeClr w14:val="tx1"/>
            </w14:solidFill>
          </w14:textFill>
        </w:rPr>
        <w:t>(园区增量指标满足条件(</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14:textFill>
            <w14:solidFill>
              <w14:schemeClr w14:val="tx1"/>
            </w14:solidFill>
          </w14:textFill>
        </w:rPr>
        <w:t>)的必须提供)</w:t>
      </w:r>
      <w:r>
        <w:rPr>
          <w:rFonts w:hint="default" w:ascii="Times New Roman" w:hAnsi="Times New Roman" w:eastAsia="仿宋_GB2312" w:cs="Times New Roman"/>
          <w:color w:val="000000" w:themeColor="text1"/>
          <w:spacing w:val="8"/>
          <w:sz w:val="32"/>
          <w:szCs w:val="32"/>
          <w:shd w:val="clear" w:color="auto" w:fill="FFFFFF"/>
          <w14:textFill>
            <w14:solidFill>
              <w14:schemeClr w14:val="tx1"/>
            </w14:solidFill>
          </w14:textFill>
        </w:rPr>
        <w:t>。</w:t>
      </w:r>
      <w:bookmarkEnd w:id="28"/>
      <w:bookmarkEnd w:id="29"/>
    </w:p>
    <w:p>
      <w:pPr>
        <w:widowControl/>
        <w:spacing w:line="560"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7</w:t>
      </w:r>
      <w:r>
        <w:rPr>
          <w:rFonts w:hint="default" w:ascii="Times New Roman" w:hAnsi="Times New Roman" w:eastAsia="仿宋_GB2312" w:cs="Times New Roman"/>
          <w:color w:val="000000" w:themeColor="text1"/>
          <w:kern w:val="0"/>
          <w:sz w:val="32"/>
          <w:szCs w:val="32"/>
          <w14:textFill>
            <w14:solidFill>
              <w14:schemeClr w14:val="tx1"/>
            </w14:solidFill>
          </w14:textFill>
        </w:rPr>
        <w:t>）</w:t>
      </w:r>
      <w:bookmarkStart w:id="30" w:name="OLE_LINK8"/>
      <w:bookmarkStart w:id="31" w:name="OLE_LINK51"/>
      <w:bookmarkStart w:id="32" w:name="OLE_LINK52"/>
      <w:r>
        <w:rPr>
          <w:rFonts w:hint="default" w:ascii="Times New Roman" w:hAnsi="Times New Roman" w:eastAsia="仿宋_GB2312" w:cs="Times New Roman"/>
          <w:color w:val="000000" w:themeColor="text1"/>
          <w:sz w:val="32"/>
          <w:szCs w:val="32"/>
          <w14:textFill>
            <w14:solidFill>
              <w14:schemeClr w14:val="tx1"/>
            </w14:solidFill>
          </w14:textFill>
        </w:rPr>
        <w:t>新增</w:t>
      </w:r>
      <w:r>
        <w:rPr>
          <w:rFonts w:hint="default" w:ascii="Times New Roman" w:hAnsi="Times New Roman" w:eastAsia="仿宋_GB2312" w:cs="Times New Roman"/>
          <w:color w:val="000000" w:themeColor="text1"/>
          <w:kern w:val="0"/>
          <w:sz w:val="32"/>
          <w:szCs w:val="32"/>
          <w14:textFill>
            <w14:solidFill>
              <w14:schemeClr w14:val="tx1"/>
            </w14:solidFill>
          </w14:textFill>
        </w:rPr>
        <w:t>获得申请单位自有或合作的投资资金投资的园区企业汇总表</w:t>
      </w:r>
      <w:bookmarkEnd w:id="30"/>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园区运营奖励专题汇总表</w:t>
      </w:r>
      <w:r>
        <w:rPr>
          <w:rFonts w:hint="default" w:ascii="Times New Roman" w:hAnsi="Times New Roman" w:eastAsia="仿宋_GB2312" w:cs="Times New Roman"/>
          <w:color w:val="000000" w:themeColor="text1"/>
          <w:kern w:val="0"/>
          <w:sz w:val="32"/>
          <w:szCs w:val="32"/>
          <w14:textFill>
            <w14:solidFill>
              <w14:schemeClr w14:val="tx1"/>
            </w14:solidFill>
          </w14:textFill>
        </w:rPr>
        <w:t>表8）、投资资金到位证明材料（投资款的转账凭证、银行流水证明、被投企业的财务入账凭证）、投资证明材料（获得投资的协议、投资资金简介及证明材料、自有投资资金的证明材料、与投资资金合作的证明材料）</w:t>
      </w:r>
      <w:r>
        <w:rPr>
          <w:rFonts w:hint="default" w:ascii="Times New Roman" w:hAnsi="Times New Roman" w:eastAsia="仿宋_GB2312" w:cs="Times New Roman"/>
          <w:bCs/>
          <w:color w:val="000000" w:themeColor="text1"/>
          <w:sz w:val="32"/>
          <w:szCs w:val="32"/>
          <w14:textFill>
            <w14:solidFill>
              <w14:schemeClr w14:val="tx1"/>
            </w14:solidFill>
          </w14:textFill>
        </w:rPr>
        <w:t>(园区增量指标满足条件(</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32"/>
          <w:szCs w:val="32"/>
          <w14:textFill>
            <w14:solidFill>
              <w14:schemeClr w14:val="tx1"/>
            </w14:solidFill>
          </w14:textFill>
        </w:rPr>
        <w:t>)的必须提供)</w:t>
      </w:r>
      <w:r>
        <w:rPr>
          <w:rFonts w:hint="default" w:ascii="Times New Roman" w:hAnsi="Times New Roman" w:eastAsia="仿宋_GB2312" w:cs="Times New Roman"/>
          <w:color w:val="000000" w:themeColor="text1"/>
          <w:kern w:val="0"/>
          <w:sz w:val="32"/>
          <w:szCs w:val="32"/>
          <w14:textFill>
            <w14:solidFill>
              <w14:schemeClr w14:val="tx1"/>
            </w14:solidFill>
          </w14:textFill>
        </w:rPr>
        <w:t>。</w:t>
      </w:r>
      <w:bookmarkEnd w:id="31"/>
      <w:bookmarkEnd w:id="32"/>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w:t>
      </w:r>
      <w:bookmarkStart w:id="33" w:name="OLE_LINK25"/>
      <w:bookmarkStart w:id="34" w:name="OLE_LINK54"/>
      <w:r>
        <w:rPr>
          <w:rFonts w:hint="default" w:ascii="Times New Roman" w:hAnsi="Times New Roman" w:eastAsia="仿宋_GB2312" w:cs="Times New Roman"/>
          <w:color w:val="000000" w:themeColor="text1"/>
          <w:kern w:val="0"/>
          <w:sz w:val="32"/>
          <w:szCs w:val="32"/>
          <w14:textFill>
            <w14:solidFill>
              <w14:schemeClr w14:val="tx1"/>
            </w14:solidFill>
          </w14:textFill>
        </w:rPr>
        <w:t>园区运营机构组织合作区企业参与国内外集成电路专业展会情况汇总表</w:t>
      </w:r>
      <w:bookmarkEnd w:id="33"/>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园区运营奖励专题汇总表</w:t>
      </w:r>
      <w:r>
        <w:rPr>
          <w:rFonts w:hint="default" w:ascii="Times New Roman" w:hAnsi="Times New Roman" w:eastAsia="仿宋_GB2312" w:cs="Times New Roman"/>
          <w:color w:val="000000" w:themeColor="text1"/>
          <w:kern w:val="0"/>
          <w:sz w:val="32"/>
          <w:szCs w:val="32"/>
          <w14:textFill>
            <w14:solidFill>
              <w14:schemeClr w14:val="tx1"/>
            </w14:solidFill>
          </w14:textFill>
        </w:rPr>
        <w:t>表9-X），参与专业展会</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的相关证明材料，包括但不限于参与展会通知、签到表、照片、媒体报道等；</w:t>
      </w:r>
      <w:bookmarkEnd w:id="34"/>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对符合条件的集成电路专业产业园区，给予园区运营机构500万元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运营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奖励，同一园区运营机构最高奖励1000万元。</w:t>
      </w:r>
    </w:p>
    <w:p>
      <w:pPr>
        <w:pStyle w:val="6"/>
        <w:ind w:firstLine="0"/>
        <w:rPr>
          <w:rFonts w:hint="default" w:ascii="Times New Roman" w:hAnsi="Times New Roman" w:eastAsia="楷体_GB2312" w:cs="Times New Roman"/>
          <w:color w:val="000000" w:themeColor="text1"/>
          <w:highlight w:val="none"/>
          <w14:textFill>
            <w14:solidFill>
              <w14:schemeClr w14:val="tx1"/>
            </w14:solidFill>
          </w14:textFill>
        </w:rPr>
      </w:pPr>
      <w:r>
        <w:rPr>
          <w:rFonts w:hint="default" w:ascii="Times New Roman" w:hAnsi="Times New Roman" w:eastAsia="楷体_GB2312" w:cs="Times New Roman"/>
          <w:color w:val="000000" w:themeColor="text1"/>
          <w:highlight w:val="none"/>
          <w14:textFill>
            <w14:solidFill>
              <w14:schemeClr w14:val="tx1"/>
            </w14:solidFill>
          </w14:textFill>
        </w:rPr>
        <w:t>（二十</w:t>
      </w:r>
      <w:r>
        <w:rPr>
          <w:rFonts w:hint="default" w:ascii="Times New Roman" w:hAnsi="Times New Roman" w:eastAsia="楷体_GB2312" w:cs="Times New Roman"/>
          <w:color w:val="000000" w:themeColor="text1"/>
          <w:highlight w:val="none"/>
          <w:lang w:val="en-US" w:eastAsia="zh-CN"/>
          <w14:textFill>
            <w14:solidFill>
              <w14:schemeClr w14:val="tx1"/>
            </w14:solidFill>
          </w14:textFill>
        </w:rPr>
        <w:t>五</w:t>
      </w:r>
      <w:r>
        <w:rPr>
          <w:rFonts w:hint="default" w:ascii="Times New Roman" w:hAnsi="Times New Roman" w:eastAsia="楷体_GB2312" w:cs="Times New Roman"/>
          <w:color w:val="000000" w:themeColor="text1"/>
          <w:highlight w:val="none"/>
          <w14:textFill>
            <w14:solidFill>
              <w14:schemeClr w14:val="tx1"/>
            </w14:solidFill>
          </w14:textFill>
        </w:rPr>
        <w:t>）行业协会补贴（专题2</w:t>
      </w:r>
      <w:r>
        <w:rPr>
          <w:rFonts w:hint="default" w:ascii="Times New Roman" w:hAnsi="Times New Roman" w:eastAsia="楷体_GB2312" w:cs="Times New Roman"/>
          <w:color w:val="000000" w:themeColor="text1"/>
          <w:highlight w:val="none"/>
          <w:lang w:val="en-US" w:eastAsia="zh-CN"/>
          <w14:textFill>
            <w14:solidFill>
              <w14:schemeClr w14:val="tx1"/>
            </w14:solidFill>
          </w14:textFill>
        </w:rPr>
        <w:t>5</w:t>
      </w:r>
      <w:r>
        <w:rPr>
          <w:rFonts w:hint="default" w:ascii="Times New Roman" w:hAnsi="Times New Roman" w:eastAsia="楷体_GB2312" w:cs="Times New Roman"/>
          <w:color w:val="000000" w:themeColor="text1"/>
          <w:highlight w:val="none"/>
          <w14:textFill>
            <w14:solidFill>
              <w14:schemeClr w14:val="tx1"/>
            </w14:solidFill>
          </w14:textFill>
        </w:rPr>
        <w:t>）</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在合作区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内集成电路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行业协会。</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pStyle w:val="14"/>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申请两万元、四万元、六万元补贴的活动对应参与人数分别不少于</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三十</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人</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四十五</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人、</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六十</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人</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w:t>
      </w:r>
    </w:p>
    <w:p>
      <w:pPr>
        <w:pStyle w:val="14"/>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申报单位</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举办</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每场活动的参与单位中合作区集成电路企业占比不少于</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百分之七十</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bookmarkStart w:id="35" w:name="OLE_LINK10"/>
      <w:bookmarkStart w:id="36" w:name="OLE_LINK9"/>
      <w:r>
        <w:rPr>
          <w:rFonts w:hint="default" w:ascii="Times New Roman" w:hAnsi="Times New Roman" w:eastAsia="仿宋_GB2312" w:cs="Times New Roman"/>
          <w:color w:val="000000" w:themeColor="text1"/>
          <w:sz w:val="32"/>
          <w:szCs w:val="32"/>
          <w14:textFill>
            <w14:solidFill>
              <w14:schemeClr w14:val="tx1"/>
            </w14:solidFill>
          </w14:textFill>
        </w:rPr>
        <w:t>统一社会信用代码证书等证明申报单位合法成立的文件</w:t>
      </w:r>
      <w:bookmarkEnd w:id="35"/>
      <w:bookmarkEnd w:id="36"/>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bookmarkStart w:id="37" w:name="OLE_LINK60"/>
      <w:bookmarkStart w:id="38" w:name="OLE_LINK59"/>
      <w:bookmarkStart w:id="39" w:name="OLE_LINK61"/>
      <w:r>
        <w:rPr>
          <w:rFonts w:hint="default" w:ascii="Times New Roman" w:hAnsi="Times New Roman" w:eastAsia="仿宋_GB2312" w:cs="Times New Roman"/>
          <w:color w:val="000000" w:themeColor="text1"/>
          <w:sz w:val="32"/>
          <w:szCs w:val="32"/>
          <w14:textFill>
            <w14:solidFill>
              <w14:schemeClr w14:val="tx1"/>
            </w14:solidFill>
          </w14:textFill>
        </w:rPr>
        <w:t>举办的产业活动汇总表（行业协会补贴专题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汇总表</w:t>
      </w:r>
      <w:r>
        <w:rPr>
          <w:rFonts w:hint="default" w:ascii="Times New Roman" w:hAnsi="Times New Roman" w:eastAsia="仿宋_GB2312" w:cs="Times New Roman"/>
          <w:color w:val="000000" w:themeColor="text1"/>
          <w:sz w:val="32"/>
          <w:szCs w:val="32"/>
          <w14:textFill>
            <w14:solidFill>
              <w14:schemeClr w14:val="tx1"/>
            </w14:solidFill>
          </w14:textFill>
        </w:rPr>
        <w:t>表2），</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产业活动参与单位汇总表（</w:t>
      </w:r>
      <w:r>
        <w:rPr>
          <w:rFonts w:hint="default" w:ascii="Times New Roman" w:hAnsi="Times New Roman" w:eastAsia="仿宋_GB2312" w:cs="Times New Roman"/>
          <w:color w:val="000000" w:themeColor="text1"/>
          <w:sz w:val="32"/>
          <w:szCs w:val="32"/>
          <w14:textFill>
            <w14:solidFill>
              <w14:schemeClr w14:val="tx1"/>
            </w14:solidFill>
          </w14:textFill>
        </w:rPr>
        <w:t>行业协会补贴专题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汇总表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3-X），产业活动参与人员汇总表（</w:t>
      </w:r>
      <w:r>
        <w:rPr>
          <w:rFonts w:hint="default" w:ascii="Times New Roman" w:hAnsi="Times New Roman" w:eastAsia="仿宋_GB2312" w:cs="Times New Roman"/>
          <w:color w:val="000000" w:themeColor="text1"/>
          <w:sz w:val="32"/>
          <w:szCs w:val="32"/>
          <w14:textFill>
            <w14:solidFill>
              <w14:schemeClr w14:val="tx1"/>
            </w14:solidFill>
          </w14:textFill>
        </w:rPr>
        <w:t>行业协会补贴专题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汇总表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4-X），</w:t>
      </w:r>
      <w:r>
        <w:rPr>
          <w:rFonts w:hint="default" w:ascii="Times New Roman" w:hAnsi="Times New Roman" w:eastAsia="仿宋_GB2312" w:cs="Times New Roman"/>
          <w:color w:val="000000" w:themeColor="text1"/>
          <w:sz w:val="32"/>
          <w:szCs w:val="32"/>
          <w14:textFill>
            <w14:solidFill>
              <w14:schemeClr w14:val="tx1"/>
            </w14:solidFill>
          </w14:textFill>
        </w:rPr>
        <w:t>举办</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产业活动</w:t>
      </w:r>
      <w:bookmarkStart w:id="40" w:name="OLE_LINK27"/>
      <w:bookmarkStart w:id="41" w:name="OLE_LINK26"/>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的相关证明材料，</w:t>
      </w:r>
      <w:bookmarkEnd w:id="40"/>
      <w:bookmarkEnd w:id="41"/>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包括但不限于参与</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活动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通知、签到表</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企业</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参与活动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照片(或其他证明企业</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参与活动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的材料:如媒体报道等)。</w:t>
      </w:r>
      <w:bookmarkEnd w:id="37"/>
      <w:bookmarkEnd w:id="38"/>
      <w:bookmarkEnd w:id="39"/>
    </w:p>
    <w:p>
      <w:pPr>
        <w:pStyle w:val="13"/>
        <w:spacing w:line="560" w:lineRule="exact"/>
        <w:ind w:left="0" w:leftChars="0" w:firstLine="640" w:firstLineChars="200"/>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bookmarkStart w:id="42" w:name="OLE_LINK63"/>
      <w:bookmarkStart w:id="43" w:name="OLE_LINK62"/>
      <w:bookmarkStart w:id="44" w:name="OLE_LINK64"/>
      <w:r>
        <w:rPr>
          <w:rFonts w:hint="default" w:ascii="Times New Roman" w:hAnsi="Times New Roman" w:eastAsia="仿宋_GB2312" w:cs="Times New Roman"/>
          <w:b w:val="0"/>
          <w:bCs w:val="0"/>
          <w:color w:val="000000" w:themeColor="text1"/>
          <w:sz w:val="32"/>
          <w:szCs w:val="32"/>
          <w14:textFill>
            <w14:solidFill>
              <w14:schemeClr w14:val="tx1"/>
            </w14:solidFill>
          </w14:textFill>
        </w:rPr>
        <w:t>举办活动的主要支出账目及发票</w:t>
      </w:r>
      <w:bookmarkEnd w:id="42"/>
      <w:bookmarkEnd w:id="43"/>
      <w:r>
        <w:rPr>
          <w:rFonts w:hint="default" w:ascii="Times New Roman" w:hAnsi="Times New Roman" w:eastAsia="仿宋_GB2312" w:cs="Times New Roman"/>
          <w:b w:val="0"/>
          <w:bCs w:val="0"/>
          <w:color w:val="000000" w:themeColor="text1"/>
          <w:sz w:val="32"/>
          <w:szCs w:val="32"/>
          <w14:textFill>
            <w14:solidFill>
              <w14:schemeClr w14:val="tx1"/>
            </w14:solidFill>
          </w14:textFill>
        </w:rPr>
        <w:t>，按活动分开汇总</w:t>
      </w:r>
      <w:bookmarkEnd w:id="44"/>
      <w:r>
        <w:rPr>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bookmarkStart w:id="45" w:name="OLE_LINK68"/>
      <w:r>
        <w:rPr>
          <w:rFonts w:hint="default" w:ascii="Times New Roman" w:hAnsi="Times New Roman" w:eastAsia="仿宋_GB2312" w:cs="Times New Roman"/>
          <w:color w:val="000000" w:themeColor="text1"/>
          <w:sz w:val="32"/>
          <w:szCs w:val="32"/>
          <w14:textFill>
            <w14:solidFill>
              <w14:schemeClr w14:val="tx1"/>
            </w14:solidFill>
          </w14:textFill>
        </w:rPr>
        <w:t>媒体报道（如有）、活动反馈材料（如有）</w:t>
      </w:r>
      <w:bookmarkEnd w:id="45"/>
      <w:r>
        <w:rPr>
          <w:rFonts w:hint="default" w:ascii="Times New Roman" w:hAnsi="Times New Roman"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bookmarkStart w:id="46" w:name="OLE_LINK13"/>
      <w:bookmarkStart w:id="47" w:name="OLE_LINK14"/>
      <w:r>
        <w:rPr>
          <w:rFonts w:hint="default" w:ascii="Times New Roman" w:hAnsi="Times New Roman" w:eastAsia="仿宋_GB2312" w:cs="Times New Roman"/>
          <w:color w:val="000000" w:themeColor="text1"/>
          <w:sz w:val="32"/>
          <w:szCs w:val="32"/>
          <w14:textFill>
            <w14:solidFill>
              <w14:schemeClr w14:val="tx1"/>
            </w14:solidFill>
          </w14:textFill>
        </w:rPr>
        <w:t>（5）《申报承诺函》。</w:t>
      </w:r>
    </w:p>
    <w:bookmarkEnd w:id="46"/>
    <w:bookmarkEnd w:id="47"/>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（6）其他申报单位认为有必要提供的材料。</w:t>
      </w:r>
    </w:p>
    <w:p>
      <w:pPr>
        <w:pStyle w:val="30"/>
        <w:spacing w:line="560" w:lineRule="exact"/>
        <w:ind w:firstLine="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pStyle w:val="30"/>
        <w:spacing w:line="560" w:lineRule="exact"/>
        <w:ind w:firstLine="640"/>
        <w:rPr>
          <w:rFonts w:hint="default" w:ascii="Times New Roman" w:hAnsi="Times New Roman" w:eastAsia="仿宋_GB2312" w:cs="Times New Roman"/>
          <w:color w:val="000000" w:themeColor="text1"/>
          <w:kern w:val="0"/>
          <w:sz w:val="32"/>
          <w:szCs w:val="32"/>
          <w14:textFill>
            <w14:solidFill>
              <w14:schemeClr w14:val="tx1"/>
            </w14:solidFill>
          </w14:textFill>
        </w:rPr>
      </w:pPr>
      <w:bookmarkStart w:id="48" w:name="OLE_LINK87"/>
      <w:bookmarkStart w:id="49" w:name="OLE_LINK86"/>
      <w:r>
        <w:rPr>
          <w:rFonts w:hint="default" w:ascii="Times New Roman" w:hAnsi="Times New Roman" w:eastAsia="仿宋_GB2312" w:cs="Times New Roman"/>
          <w:color w:val="000000" w:themeColor="text1"/>
          <w:kern w:val="0"/>
          <w:sz w:val="32"/>
          <w:szCs w:val="32"/>
          <w14:textFill>
            <w14:solidFill>
              <w14:schemeClr w14:val="tx1"/>
            </w14:solidFill>
          </w14:textFill>
        </w:rPr>
        <w:t>支持合作区内集成电路行业协会举办产业活动，对参与单位不少于十五家、三十家、五十家的活动分别按每场两万元、四万元、六万元给予补贴，每个行业协会每年最高补贴一百万元。</w:t>
      </w:r>
    </w:p>
    <w:p>
      <w:pPr>
        <w:pStyle w:val="30"/>
        <w:spacing w:line="560" w:lineRule="exact"/>
        <w:ind w:firstLine="64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申请两万元、四万元、六万元补贴的活动对应参与人数分别不少于三十人、四十五人、六十人，且每场活动的</w:t>
      </w:r>
      <w:bookmarkStart w:id="50" w:name="OLE_LINK11"/>
      <w:bookmarkStart w:id="51" w:name="OLE_LINK12"/>
      <w:r>
        <w:rPr>
          <w:rFonts w:hint="default" w:ascii="Times New Roman" w:hAnsi="Times New Roman" w:eastAsia="仿宋_GB2312" w:cs="Times New Roman"/>
          <w:color w:val="000000" w:themeColor="text1"/>
          <w:kern w:val="0"/>
          <w:sz w:val="32"/>
          <w:szCs w:val="32"/>
          <w14:textFill>
            <w14:solidFill>
              <w14:schemeClr w14:val="tx1"/>
            </w14:solidFill>
          </w14:textFill>
        </w:rPr>
        <w:t>参与单位中合作区集成电路企业占比</w:t>
      </w:r>
      <w:bookmarkEnd w:id="50"/>
      <w:bookmarkEnd w:id="51"/>
      <w:r>
        <w:rPr>
          <w:rFonts w:hint="default" w:ascii="Times New Roman" w:hAnsi="Times New Roman" w:eastAsia="仿宋_GB2312" w:cs="Times New Roman"/>
          <w:color w:val="000000" w:themeColor="text1"/>
          <w:kern w:val="0"/>
          <w:sz w:val="32"/>
          <w:szCs w:val="32"/>
          <w14:textFill>
            <w14:solidFill>
              <w14:schemeClr w14:val="tx1"/>
            </w14:solidFill>
          </w14:textFill>
        </w:rPr>
        <w:t>不少于百分之七十。</w:t>
      </w:r>
    </w:p>
    <w:bookmarkEnd w:id="48"/>
    <w:bookmarkEnd w:id="49"/>
    <w:p>
      <w:pPr>
        <w:pStyle w:val="6"/>
        <w:ind w:firstLine="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（二十</w:t>
      </w:r>
      <w:r>
        <w:rPr>
          <w:rFonts w:hint="default" w:ascii="Times New Roman" w:hAnsi="Times New Roman" w:eastAsia="楷体_GB2312" w:cs="Times New Roman"/>
          <w:color w:val="000000" w:themeColor="text1"/>
          <w:lang w:val="en-US" w:eastAsia="zh-CN"/>
          <w14:textFill>
            <w14:solidFill>
              <w14:schemeClr w14:val="tx1"/>
            </w14:solidFill>
          </w14:textFill>
        </w:rPr>
        <w:t>六</w:t>
      </w:r>
      <w:r>
        <w:rPr>
          <w:rFonts w:hint="default" w:ascii="Times New Roman" w:hAnsi="Times New Roman" w:eastAsia="楷体_GB2312" w:cs="Times New Roman"/>
          <w:color w:val="000000" w:themeColor="text1"/>
          <w14:textFill>
            <w14:solidFill>
              <w14:schemeClr w14:val="tx1"/>
            </w14:solidFill>
          </w14:textFill>
        </w:rPr>
        <w:t>）联合实验室</w:t>
      </w:r>
      <w:r>
        <w:rPr>
          <w:rFonts w:hint="default" w:ascii="Times New Roman" w:hAnsi="Times New Roman" w:eastAsia="楷体_GB2312" w:cs="Times New Roman"/>
          <w:color w:val="000000" w:themeColor="text1"/>
          <w:lang w:val="en-US" w:eastAsia="zh-CN"/>
          <w14:textFill>
            <w14:solidFill>
              <w14:schemeClr w14:val="tx1"/>
            </w14:solidFill>
          </w14:textFill>
        </w:rPr>
        <w:t>补贴</w:t>
      </w:r>
      <w:r>
        <w:rPr>
          <w:rFonts w:hint="default" w:ascii="Times New Roman" w:hAnsi="Times New Roman" w:eastAsia="楷体_GB2312" w:cs="Times New Roman"/>
          <w:color w:val="000000" w:themeColor="text1"/>
          <w14:textFill>
            <w14:solidFill>
              <w14:schemeClr w14:val="tx1"/>
            </w14:solidFill>
          </w14:textFill>
        </w:rPr>
        <w:t>（专题2</w:t>
      </w:r>
      <w:r>
        <w:rPr>
          <w:rFonts w:hint="default" w:ascii="Times New Roman" w:hAnsi="Times New Roman" w:eastAsia="楷体_GB2312" w:cs="Times New Roman"/>
          <w:color w:val="000000" w:themeColor="text1"/>
          <w:lang w:val="en-US" w:eastAsia="zh-CN"/>
          <w14:textFill>
            <w14:solidFill>
              <w14:schemeClr w14:val="tx1"/>
            </w14:solidFill>
          </w14:textFill>
        </w:rPr>
        <w:t>6</w:t>
      </w:r>
      <w:r>
        <w:rPr>
          <w:rFonts w:hint="default" w:ascii="Times New Roman" w:hAnsi="Times New Roman" w:eastAsia="楷体_GB2312" w:cs="Times New Roman"/>
          <w:color w:val="000000" w:themeColor="text1"/>
          <w14:textFill>
            <w14:solidFill>
              <w14:schemeClr w14:val="tx1"/>
            </w14:solidFill>
          </w14:textFill>
        </w:rPr>
        <w:t>）</w:t>
      </w:r>
    </w:p>
    <w:p>
      <w:pPr>
        <w:pStyle w:val="14"/>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1.申报单位</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合作区集成电路企业</w:t>
      </w:r>
    </w:p>
    <w:p>
      <w:pPr>
        <w:pStyle w:val="14"/>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2.申报条件</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申请单位为主营业务符合《适用主营业务目录》（见附件）的企业或者科研机构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申请单位与澳门高校产学研示范基地签订正式合作协议，明确共建联合实验室</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联合实验室应当以技术研发、成果转移转化、人才培养为核心，具有稳定而明确的长期（不低于三年）合作机制，非针对具体的一次性项目合作</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widowControl/>
        <w:suppressLineNumbers w:val="0"/>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2"/>
          <w:sz w:val="32"/>
          <w:szCs w:val="32"/>
          <w:highlight w:val="none"/>
          <w:u w:val="none"/>
          <w:shd w:val="clear" w:fill="auto"/>
          <w:lang w:val="en-US" w:eastAsia="zh-CN" w:bidi="ar"/>
          <w14:textFill>
            <w14:solidFill>
              <w14:schemeClr w14:val="tx1"/>
            </w14:solidFill>
          </w14:textFill>
        </w:rPr>
        <w:t>联合实验室在合作区具备固定的场地、研发人员和必要的仪器设备</w:t>
      </w:r>
      <w:r>
        <w:rPr>
          <w:rFonts w:hint="default" w:ascii="Times New Roman" w:hAnsi="Times New Roman" w:eastAsia="仿宋_GB2312" w:cs="Times New Roman"/>
          <w:i w:val="0"/>
          <w:iCs w:val="0"/>
          <w:caps w:val="0"/>
          <w:color w:val="000000" w:themeColor="text1"/>
          <w:spacing w:val="0"/>
          <w:kern w:val="2"/>
          <w:sz w:val="32"/>
          <w:szCs w:val="32"/>
          <w:highlight w:val="none"/>
          <w:u w:val="none"/>
          <w:shd w:val="clear"/>
          <w:lang w:val="en-US" w:eastAsia="zh-CN" w:bidi="ar"/>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申请单位对联合实验室已有实际投入经费。</w:t>
      </w:r>
    </w:p>
    <w:p>
      <w:pPr>
        <w:pStyle w:val="14"/>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3.申报材料</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（1）申报单位主体资格证明：统一社会信用代码证、202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年度财务审计报告或财务报表、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年度所得税纳税申报表主表及附表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年度完税证明，202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年研发活动证明文件（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不限于购买EDA、IP、研发费专项审计报告等第三方出具的专业独立证明材料）。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（2）申报单位实质性运营证明：详见《实质性运营证明资料清单》。</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申请奖补基本要求材料。</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共建联合实验室合作协议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资金投入证明材料，如专项审计报告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联合实验室场地证明材料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widowControl/>
        <w:suppressLineNumbers w:val="0"/>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2"/>
          <w:sz w:val="32"/>
          <w:szCs w:val="32"/>
          <w:highlight w:val="none"/>
          <w:u w:val="none"/>
          <w:shd w:val="clear" w:fill="auto"/>
          <w:lang w:val="en-US" w:eastAsia="zh-CN" w:bidi="ar-SA"/>
          <w14:textFill>
            <w14:solidFill>
              <w14:schemeClr w14:val="tx1"/>
            </w14:solidFill>
          </w14:textFill>
        </w:rPr>
        <w:t>联合实验室花名册、科研人员清单及佐证材料（劳动合同、申报日期前三个月的纳税证明或社保缴费证明）</w:t>
      </w:r>
      <w:r>
        <w:rPr>
          <w:rFonts w:hint="default" w:ascii="Times New Roman" w:hAnsi="Times New Roman" w:eastAsia="仿宋_GB2312" w:cs="Times New Roman"/>
          <w:i w:val="0"/>
          <w:iCs w:val="0"/>
          <w:caps w:val="0"/>
          <w:color w:val="000000" w:themeColor="text1"/>
          <w:spacing w:val="0"/>
          <w:kern w:val="2"/>
          <w:sz w:val="32"/>
          <w:szCs w:val="32"/>
          <w:highlight w:val="none"/>
          <w:u w:val="none"/>
          <w:shd w:val="clear"/>
          <w:lang w:val="en-US" w:eastAsia="zh-CN" w:bidi="ar-SA"/>
          <w14:textFill>
            <w14:solidFill>
              <w14:schemeClr w14:val="tx1"/>
            </w14:solidFill>
          </w14:textFill>
        </w:rPr>
        <w:t>。</w:t>
      </w:r>
    </w:p>
    <w:p>
      <w:pPr>
        <w:widowControl/>
        <w:spacing w:line="560" w:lineRule="exact"/>
        <w:ind w:left="0" w:leftChars="0"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2"/>
          <w:sz w:val="32"/>
          <w:szCs w:val="32"/>
          <w:highlight w:val="none"/>
          <w:u w:val="none"/>
          <w:lang w:val="en-US" w:eastAsia="zh-CN" w:bidi="ar-SA"/>
          <w14:textFill>
            <w14:solidFill>
              <w14:schemeClr w14:val="tx1"/>
            </w14:solidFill>
          </w14:textFill>
        </w:rPr>
        <w:t>科研仪器、设备和工具软件清单（名称、数量、金额、购置时间）以及购置发票。</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）《申报承诺函》。</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联合实验室建设资助申请表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）其他申报单位认为有必要提供的材料。</w:t>
      </w:r>
    </w:p>
    <w:p>
      <w:pPr>
        <w:widowControl/>
        <w:shd w:val="clear" w:color="auto" w:fill="FFFFFF"/>
        <w:spacing w:before="0" w:beforeAutospacing="0" w:after="0" w:afterAutospacing="0" w:line="560" w:lineRule="exact"/>
        <w:ind w:firstLine="643" w:firstLineChars="200"/>
        <w:jc w:val="both"/>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4.支持标准</w:t>
      </w:r>
    </w:p>
    <w:p>
      <w:pPr>
        <w:widowControl/>
        <w:numPr>
          <w:ilvl w:val="-1"/>
          <w:numId w:val="0"/>
        </w:num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对合作区企业联合澳门高校产学研示范基地共建集成电路领域相关联合实验室的，按照企业实际投入资金的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，给予单个联合实验室最高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200万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元补贴。</w:t>
      </w:r>
    </w:p>
    <w:p>
      <w:pPr>
        <w:widowControl/>
        <w:spacing w:line="560" w:lineRule="exact"/>
        <w:ind w:left="0" w:leftChars="0" w:firstLine="640" w:firstLineChars="200"/>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五、其他事项</w:t>
      </w:r>
    </w:p>
    <w:p>
      <w:pPr>
        <w:pStyle w:val="14"/>
        <w:widowControl/>
        <w:shd w:val="clear" w:color="auto" w:fill="FFFFFF"/>
        <w:spacing w:before="0" w:beforeAutospacing="0" w:after="0" w:afterAutospacing="0" w:line="560" w:lineRule="exact"/>
        <w:ind w:firstLine="643" w:firstLineChars="200"/>
        <w:jc w:val="both"/>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.澳资企业特别奖励</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对符合本细则申请条件的澳资企业，按照本细则既定标准的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120%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执行，最高金额不能超过各条款奖补上限。</w:t>
      </w:r>
    </w:p>
    <w:p>
      <w:pPr>
        <w:pStyle w:val="13"/>
        <w:spacing w:line="560" w:lineRule="exact"/>
        <w:ind w:left="0" w:leftChars="0" w:firstLine="643" w:firstLineChars="200"/>
        <w:rPr>
          <w:rFonts w:hint="default" w:ascii="Times New Roman" w:hAnsi="Times New Roman" w:eastAsia="楷体_GB2312" w:cs="Times New Roman"/>
          <w:b/>
          <w:bCs/>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lang w:val="en-US" w:eastAsia="zh-CN"/>
          <w14:textFill>
            <w14:solidFill>
              <w14:schemeClr w14:val="tx1"/>
            </w14:solidFill>
          </w14:textFill>
        </w:rPr>
        <w:t>2.申诉</w:t>
      </w:r>
    </w:p>
    <w:p>
      <w:pPr>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申报期内，每家企业仅有一次申诉机会，且申诉期间不得补充任何材料。</w:t>
      </w:r>
    </w:p>
    <w:p>
      <w:pPr>
        <w:pStyle w:val="13"/>
        <w:spacing w:line="560" w:lineRule="exact"/>
        <w:ind w:left="0" w:leftChars="0" w:firstLine="643" w:firstLineChars="200"/>
        <w:rPr>
          <w:rFonts w:hint="default" w:ascii="Times New Roman" w:hAnsi="Times New Roman" w:eastAsia="楷体_GB2312" w:cs="Times New Roman"/>
          <w:b/>
          <w:bCs/>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lang w:val="en-US" w:eastAsia="zh-CN"/>
          <w14:textFill>
            <w14:solidFill>
              <w14:schemeClr w14:val="tx1"/>
            </w14:solidFill>
          </w14:textFill>
        </w:rPr>
        <w:t>3.解释</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本申报指南由横琴粤澳深度合作区经济发展局负责解释。</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br w:type="page"/>
      </w:r>
    </w:p>
    <w:p>
      <w:pPr>
        <w:pStyle w:val="14"/>
        <w:widowControl/>
        <w:shd w:val="clear" w:color="auto" w:fill="FFFFFF"/>
        <w:spacing w:before="0" w:beforeAutospacing="0" w:after="0" w:afterAutospacing="0" w:line="560" w:lineRule="exact"/>
        <w:outlineLvl w:val="0"/>
        <w:rPr>
          <w:rFonts w:hint="default"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t>附件</w:t>
      </w:r>
      <w:r>
        <w:rPr>
          <w:rFonts w:hint="default"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t>1</w:t>
      </w:r>
    </w:p>
    <w:p>
      <w:pPr>
        <w:pStyle w:val="14"/>
        <w:widowControl/>
        <w:shd w:val="clear" w:color="auto" w:fill="FFFFFF"/>
        <w:spacing w:before="0" w:beforeAutospacing="0" w:after="0" w:afterAutospacing="0" w:line="560" w:lineRule="exact"/>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pPr>
    </w:p>
    <w:p>
      <w:pPr>
        <w:pStyle w:val="14"/>
        <w:widowControl/>
        <w:shd w:val="clear" w:color="auto" w:fill="FFFFFF"/>
        <w:spacing w:before="0" w:beforeAutospacing="0" w:after="0" w:afterAutospacing="0" w:line="560" w:lineRule="exact"/>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shd w:val="clear" w:color="auto" w:fill="FFFFFF"/>
          <w14:textFill>
            <w14:solidFill>
              <w14:schemeClr w14:val="tx1"/>
            </w14:solidFill>
          </w14:textFill>
        </w:rPr>
        <w:t>适用主营业务目录</w:t>
      </w:r>
    </w:p>
    <w:p>
      <w:pPr>
        <w:pStyle w:val="14"/>
        <w:widowControl/>
        <w:shd w:val="clear" w:color="auto" w:fill="FFFFFF"/>
        <w:spacing w:before="0" w:beforeAutospacing="0" w:after="0" w:afterAutospacing="0" w:line="560" w:lineRule="exact"/>
        <w:ind w:firstLine="640" w:firstLineChars="200"/>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pP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1.设计及支撑工具。主要包括集成电路及半导体产品设计及服务，芯片设计平台（EDA工具）及配套IP库。</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2.制造。主要包括线宽90纳米及以下大规模数字集成电路制造，0.5微米及以下特色工艺集成电路或半导体器件制造,TFT半导体器件制造。</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3.封装测试。主要包括晶圆级封装、系统级封装（SiP）、芯片级封装（CSP）、圆片级封装（WLP）、倒装封装（Flip Chip）、球栅阵列封装（BGA）、硅通孔（TSV）、三维封装（3D）、Chiplet(芯粒）、FOG（软排线对TFT玻璃板）等先进封装和测试技术的开发及产业化。</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4.材料。主要包括8英寸/12英寸集成电路硅片、绝缘体上硅（SOI）、SiC、GaN、Pyrex glass（无碱硼硅玻璃）等化合物半导体材料，光刻胶、靶材、电子特气、抛光及研磨材料、封装材料等。</w:t>
      </w:r>
    </w:p>
    <w:p>
      <w:pPr>
        <w:pStyle w:val="13"/>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sectPr>
          <w:footerReference r:id="rId3" w:type="default"/>
          <w:pgSz w:w="11906" w:h="16838"/>
          <w:pgMar w:top="2098" w:right="1474" w:bottom="1984" w:left="1587" w:header="851" w:footer="992" w:gutter="0"/>
          <w:cols w:space="720" w:num="1"/>
          <w:docGrid w:type="lines" w:linePitch="312" w:charSpace="0"/>
        </w:sect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5.设备及零部件。主要包括半导体前道制造设备（含软件）、后道封装及测试设备（含软件）、以及其他半导体设备（含软件）及关键零部件。</w:t>
      </w:r>
    </w:p>
    <w:p>
      <w:pPr>
        <w:pStyle w:val="2"/>
        <w:outlineLvl w:val="0"/>
        <w:rPr>
          <w:rFonts w:hint="default" w:ascii="Times New Roman" w:hAnsi="Times New Roman" w:eastAsia="黑体"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lang w:val="en-US" w:eastAsia="zh-CN"/>
          <w14:textFill>
            <w14:solidFill>
              <w14:schemeClr w14:val="tx1"/>
            </w14:solidFill>
          </w14:textFill>
        </w:rPr>
        <w:t>附件2</w:t>
      </w:r>
    </w:p>
    <w:p>
      <w:pPr>
        <w:pStyle w:val="9"/>
        <w:rPr>
          <w:rFonts w:hint="default" w:ascii="Times New Roman" w:hAnsi="Times New Roman" w:eastAsia="方正小标宋简体" w:cs="Times New Roman"/>
          <w:b w:val="0"/>
          <w:snapToGrid/>
          <w:color w:val="000000" w:themeColor="text1"/>
          <w:sz w:val="44"/>
          <w:szCs w:val="44"/>
          <w:highlight w:val="none"/>
          <w:shd w:val="clear" w:color="auto" w:fill="FFFFFF"/>
          <w:lang w:eastAsia="zh-CN"/>
          <w14:textFill>
            <w14:solidFill>
              <w14:schemeClr w14:val="tx1"/>
            </w14:solidFill>
          </w14:textFill>
        </w:rPr>
      </w:pPr>
      <w:r>
        <w:rPr>
          <w:rFonts w:hint="default" w:ascii="Times New Roman" w:hAnsi="Times New Roman" w:eastAsia="方正小标宋简体" w:cs="Times New Roman"/>
          <w:b w:val="0"/>
          <w:snapToGrid/>
          <w:color w:val="000000" w:themeColor="text1"/>
          <w:sz w:val="44"/>
          <w:szCs w:val="44"/>
          <w:highlight w:val="none"/>
          <w:shd w:val="clear" w:color="auto" w:fill="FFFFFF"/>
          <w:lang w:eastAsia="zh-CN"/>
          <w14:textFill>
            <w14:solidFill>
              <w14:schemeClr w14:val="tx1"/>
            </w14:solidFill>
          </w14:textFill>
        </w:rPr>
        <w:t>实质性运营证明资料清单</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7"/>
        <w:gridCol w:w="699"/>
        <w:gridCol w:w="730"/>
        <w:gridCol w:w="3004"/>
        <w:gridCol w:w="2172"/>
        <w:gridCol w:w="3853"/>
        <w:gridCol w:w="1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t>政策及相关规定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t>序号</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t>类型</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t>政策依据</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t>证明内容</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t>证明资料</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0"/>
                <w:szCs w:val="20"/>
                <w:u w:val="none"/>
                <w:lang w:val="en-US" w:eastAsia="zh-CN" w:bidi="ar"/>
                <w14:textFill>
                  <w14:solidFill>
                    <w14:schemeClr w14:val="tx1"/>
                  </w14:solidFill>
                </w14:textFill>
              </w:rPr>
              <w:t>判断内容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第2/2023号执行委员会规范性文件《横琴粤澳深度合作区企业实质性运营认定规则》第三条规定实质性运营的认定，应当符合《关于横琴粤澳深度合作区符合条件的产业企业实质性运营有关问题的公告》所规定的条件。            2、《关于横琴粤澳深度合作区符合条件的产业企业实质性运营有关问题的公告》。                                                            3、《关于&lt;关于横琴粤澳深度合作区符合条件的产业企业实质性运营有关问题的公告&gt;的解读》。</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1</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基本条件</w:t>
            </w:r>
          </w:p>
        </w:tc>
        <w:tc>
          <w:tcPr>
            <w:tcW w:w="10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注册在合作区的居民企业，从事符合条件产业项目的，其生产经营、人员、账务、财产等在合作区，属于在合作区实质性运营</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企业是否在合作区</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营业执照（</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是否在横琴注册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实质性运营自评承诺表（</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留档备查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2</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生产经营在合作区</w:t>
            </w:r>
          </w:p>
        </w:tc>
        <w:tc>
          <w:tcPr>
            <w:tcW w:w="10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指企业在合作区拥有固定生产经营场所和必要的生产经营设备设施等，主要生产经营地点在合作区，或对生产经营实施实质性全面管理和控制的机构在合作区；以本企业名义对外订立相关合同。</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业务层面</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办公场所情况（照片、视频等）（</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留档备查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租赁合同或产权证明（二选一，</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是否存在运营场地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管控层面</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经营活动证明材料（如销售、采购合同、借贷；进行生产经营决策、财务决策、人事决策的会议纪要及对应照片等）（如有）</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业务活动是否真实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7"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生产经营在合作区</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其他证明材料（如有）</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生产经营在合作区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3</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人员在合作区</w:t>
            </w:r>
          </w:p>
        </w:tc>
        <w:tc>
          <w:tcPr>
            <w:tcW w:w="10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企业有满足生产经营需要的从业人员在合作区实际工作，从业人员的工资薪金通过本企业在合作区开立的银行账户发放；根据企业规模、从业人员的情况，一个纳税年度内至少需有3名（含）至30名（含）从业人员当年度在合作区缴纳六个月（含）以上基本养老保险等社会保险。</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企业从业总人数的确定</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所得税纳税申报表（</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纳税情况、人员情况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职工花名册（如有）</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劳动合同（如有）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与劳务派遣公司签订的服务合同（协议）（如有）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计算是否符合实质运营政策人数</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企业社保清单（含人员及社保账号明细）（</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人员数量是否符合要求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从业人员工资薪金通过本企业在合作区开立的银行账户发放</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银行代发工资资料（</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银行账户是否在合作区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人员在合作区</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其他证明材料（如有）</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人员在合作区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第2/2023号执行委员会规范性文件《横琴粤澳深度合作区企业实质性运营认定规则》第三条规定实质性运营的认定，应当符合《关于横琴粤澳深度合作区符合条件的产业企业实质性运营有关问题的公告》所规定的条件。            2、《关于横琴粤澳深度合作区符合条件的产业企业实质性运营有关问题的公告》。                                                            3、《关于&lt;关于横琴粤澳深度合作区符合条件的产业企业实质性运营有关问题的公告&gt;的解读》。</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4</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账务在合作区</w:t>
            </w:r>
          </w:p>
        </w:tc>
        <w:tc>
          <w:tcPr>
            <w:tcW w:w="10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指企业会计凭证、会计账簿和财务报表等会计档案资料存放在合作区，基本存款账户和进行主营业务结算的银行账户开立在合作区。</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确定财务机构实质性运行</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银行开户资料（基本户）（</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银行账户是否在合作区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已开立银行结算账户清单（如有）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会计凭证、会计账簿、财务会计报告等会计档案资料存放在合作区的佐证材料，如照片等（</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注：根据《关于&lt;关于横琴粤澳深度合作区符合条件的产业企业实质性运营有关问题的公告&gt;的解读》要求，会计档案资料如以电子形式保存，应能够在合作区提供查阅；如采取财务共享中心模式核算财务的企业，应当按照后续管理的要求，提供相关会计档案资料以便相关部门查阅或者检查。</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核实和留存备查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财务人员资质证书或财务人员劳动合同（如有）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其他证明材料（如有）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5</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财产在合作区</w:t>
            </w:r>
          </w:p>
        </w:tc>
        <w:tc>
          <w:tcPr>
            <w:tcW w:w="10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指企业拥有享有所有权或使用权的财产，该财产在合作区实际使用或对财产实施实质性全面管理和控制的机构在合作区，且该财产需与企业的生产经营相匹配。</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确定资产总额</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财产情况说明或经审计财务报表（</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现场资产照片（</w:t>
            </w:r>
            <w:r>
              <w:rPr>
                <w:rFonts w:hint="default" w:ascii="Times New Roman" w:hAnsi="Times New Roman" w:cs="Times New Roman"/>
                <w:color w:val="000000" w:themeColor="text1"/>
                <w:kern w:val="0"/>
                <w:sz w:val="20"/>
                <w:szCs w:val="20"/>
                <w:u w:val="none"/>
                <w:lang w:val="en-US" w:eastAsia="zh-CN" w:bidi="ar"/>
                <w14:textFill>
                  <w14:solidFill>
                    <w14:schemeClr w14:val="tx1"/>
                  </w14:solidFill>
                </w14:textFill>
              </w:rPr>
              <w:t>必需</w:t>
            </w: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资产清单或相关资产登记在企业名下的权属登记证书或证明文件等资料（如有）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核对现场资产</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不动产产权证明（如有）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存货盘点表（如有）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固定资产清单（如有）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t>其他证明材料（如有）</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themeColor="text1"/>
                <w:kern w:val="0"/>
                <w:sz w:val="20"/>
                <w:szCs w:val="20"/>
                <w:u w:val="none"/>
                <w:lang w:val="en-US" w:eastAsia="zh-CN" w:bidi="ar"/>
                <w14:textFill>
                  <w14:solidFill>
                    <w14:schemeClr w14:val="tx1"/>
                  </w14:solidFill>
                </w14:textFill>
              </w:rPr>
            </w:pPr>
          </w:p>
        </w:tc>
      </w:tr>
    </w:tbl>
    <w:p>
      <w:pPr>
        <w:pStyle w:val="30"/>
        <w:spacing w:line="620" w:lineRule="exact"/>
        <w:rPr>
          <w:rFonts w:hint="default" w:ascii="Times New Roman" w:hAnsi="Times New Roman" w:eastAsia="宋体" w:cs="Times New Roman"/>
          <w:color w:val="000000" w:themeColor="text1"/>
          <w:lang w:val="en-US" w:eastAsia="zh-CN"/>
          <w14:textFill>
            <w14:solidFill>
              <w14:schemeClr w14:val="tx1"/>
            </w14:solidFill>
          </w14:textFill>
        </w:rPr>
        <w:sectPr>
          <w:pgSz w:w="16838" w:h="11906" w:orient="landscape"/>
          <w:pgMar w:top="1800" w:right="1440" w:bottom="1800" w:left="1440" w:header="851" w:footer="992" w:gutter="0"/>
          <w:cols w:space="720" w:num="1"/>
          <w:docGrid w:type="lines" w:linePitch="312" w:charSpace="0"/>
        </w:sectPr>
      </w:pPr>
    </w:p>
    <w:p>
      <w:pPr>
        <w:pStyle w:val="2"/>
        <w:ind w:firstLine="0" w:firstLineChars="0"/>
        <w:outlineLvl w:val="0"/>
        <w:rPr>
          <w:rFonts w:hint="default" w:ascii="Times New Roman" w:hAnsi="Times New Roman" w:eastAsia="黑体"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lang w:val="en-US" w:eastAsia="zh-CN"/>
          <w14:textFill>
            <w14:solidFill>
              <w14:schemeClr w14:val="tx1"/>
            </w14:solidFill>
          </w14:textFill>
        </w:rPr>
        <w:t>附件3</w:t>
      </w:r>
    </w:p>
    <w:p>
      <w:pPr>
        <w:pStyle w:val="9"/>
        <w:rPr>
          <w:rFonts w:hint="default" w:ascii="Times New Roman" w:hAnsi="Times New Roman" w:eastAsia="方正小标宋简体" w:cs="Times New Roman"/>
          <w:b w:val="0"/>
          <w:snapToGrid/>
          <w:color w:val="000000" w:themeColor="text1"/>
          <w:sz w:val="44"/>
          <w:szCs w:val="44"/>
          <w:highlight w:val="none"/>
          <w:shd w:val="clear" w:color="auto" w:fill="FFFFFF"/>
          <w:lang w:val="en-US" w:eastAsia="zh-CN"/>
          <w14:textFill>
            <w14:solidFill>
              <w14:schemeClr w14:val="tx1"/>
            </w14:solidFill>
          </w14:textFill>
        </w:rPr>
      </w:pPr>
      <w:r>
        <w:rPr>
          <w:rFonts w:hint="default" w:ascii="Times New Roman" w:hAnsi="Times New Roman" w:eastAsia="方正小标宋简体" w:cs="Times New Roman"/>
          <w:b w:val="0"/>
          <w:snapToGrid/>
          <w:color w:val="000000" w:themeColor="text1"/>
          <w:sz w:val="44"/>
          <w:szCs w:val="44"/>
          <w:highlight w:val="none"/>
          <w:shd w:val="clear" w:color="auto" w:fill="FFFFFF"/>
          <w:lang w:val="en-US" w:eastAsia="zh-CN"/>
          <w14:textFill>
            <w14:solidFill>
              <w14:schemeClr w14:val="tx1"/>
            </w14:solidFill>
          </w14:textFill>
        </w:rPr>
        <w:t>重点支持领域</w:t>
      </w:r>
    </w:p>
    <w:p>
      <w:pPr>
        <w:pStyle w:val="30"/>
        <w:spacing w:line="62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1.CPU、GPU及用于大模型和HPC场景的AI芯片；</w:t>
      </w:r>
    </w:p>
    <w:p>
      <w:pPr>
        <w:pStyle w:val="30"/>
        <w:spacing w:line="62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2.先进存储器（HBM、DRAM、3DNAND和MRAM、RRAM等新兴存储器）；</w:t>
      </w:r>
    </w:p>
    <w:p>
      <w:pPr>
        <w:pStyle w:val="30"/>
        <w:spacing w:line="620" w:lineRule="exact"/>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3.采用五十五纳米以下制程流片的数模混合/模拟芯片；采用九十纳米以下制程流片的车规级芯片；</w:t>
      </w:r>
    </w:p>
    <w:p>
      <w:pPr>
        <w:pStyle w:val="30"/>
        <w:spacing w:line="62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4.基带芯片、光通信芯片、传感器芯片、存储主控芯片等重点发展方向的芯片；</w:t>
      </w:r>
    </w:p>
    <w:p>
      <w:pPr>
        <w:pStyle w:val="30"/>
        <w:numPr>
          <w:ilvl w:val="-1"/>
          <w:numId w:val="0"/>
        </w:numPr>
        <w:spacing w:line="62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5.采用RISC-V架构，面向工业、汽车、通信、数据中心场景的芯片；</w:t>
      </w:r>
    </w:p>
    <w:p>
      <w:pPr>
        <w:pStyle w:val="30"/>
        <w:numPr>
          <w:ilvl w:val="-1"/>
          <w:numId w:val="0"/>
        </w:numPr>
        <w:spacing w:line="62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6.采用GaAs、GaN、SiC化合物半导体工艺流片的功率或射频芯片；</w:t>
      </w:r>
    </w:p>
    <w:p>
      <w:pPr>
        <w:pStyle w:val="30"/>
        <w:spacing w:line="620" w:lineRule="exact"/>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7.采用SOI制造工艺流片的芯片；采用BCD制造工艺流片的芯片;</w:t>
      </w:r>
    </w:p>
    <w:p>
      <w:pPr>
        <w:pStyle w:val="30"/>
        <w:spacing w:line="62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8.2.5D/3D封装、晶圆级封装（WLP）、倒装芯片封装（Flip Chip）、多芯片封装（MCP）、芯粒（Chiplet）、系统级封装（SiP）、板级封装（PLP）、玻璃基封装、凸块（Bump）工艺、硅通孔（TSV）工艺以及重布线层（RDL）工艺的集成电路先进封装的研发技术；</w:t>
      </w:r>
    </w:p>
    <w:p>
      <w:pPr>
        <w:pStyle w:val="30"/>
        <w:numPr>
          <w:ilvl w:val="0"/>
          <w:numId w:val="0"/>
        </w:numPr>
        <w:spacing w:line="620" w:lineRule="exact"/>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硅片制造设备、掩膜制造设备、光刻设备、扩散及离子输入设备、薄膜生长及沉积设备、等离子体刻蚀设备等集成电路制造、封装测试、检测环节关键设备(含核心零部件、软件)；半导体用硅晶圆和硅基材、化合物半导体晶圆、掩膜版、光刻胶、溅射靶材、封装基板等材料研发和生产。</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8EFF9E-BA05-4B86-BF5A-D34B3B8F9D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Bold">
    <w:altName w:val="Times New Roman"/>
    <w:panose1 w:val="02020603050405020304"/>
    <w:charset w:val="00"/>
    <w:family w:val="auto"/>
    <w:pitch w:val="default"/>
    <w:sig w:usb0="00000000" w:usb1="00000000" w:usb2="00000009" w:usb3="00000000" w:csb0="400001FF" w:csb1="FFFF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A605D756-E522-4543-AD86-41C7B28152BB}"/>
  </w:font>
  <w:font w:name="仿宋_GB2312">
    <w:panose1 w:val="02010609030101010101"/>
    <w:charset w:val="86"/>
    <w:family w:val="modern"/>
    <w:pitch w:val="default"/>
    <w:sig w:usb0="00000001" w:usb1="080E0000" w:usb2="00000000" w:usb3="00000000" w:csb0="00040000" w:csb1="00000000"/>
    <w:embedRegular r:id="rId3" w:fontKey="{EA6E3892-B911-465B-A336-F66455212FEE}"/>
  </w:font>
  <w:font w:name="楷体_GB2312">
    <w:panose1 w:val="02010609030101010101"/>
    <w:charset w:val="86"/>
    <w:family w:val="modern"/>
    <w:pitch w:val="default"/>
    <w:sig w:usb0="00000001" w:usb1="080E0000" w:usb2="00000000" w:usb3="00000000" w:csb0="00040000" w:csb1="00000000"/>
    <w:embedRegular r:id="rId4" w:fontKey="{80874EBF-5D7B-4526-9C59-DC03B018A9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FE03F"/>
    <w:multiLevelType w:val="singleLevel"/>
    <w:tmpl w:val="AFFFE03F"/>
    <w:lvl w:ilvl="0" w:tentative="0">
      <w:start w:val="1"/>
      <w:numFmt w:val="decimal"/>
      <w:suff w:val="nothing"/>
      <w:lvlText w:val="%1、"/>
      <w:lvlJc w:val="left"/>
    </w:lvl>
  </w:abstractNum>
  <w:abstractNum w:abstractNumId="1">
    <w:nsid w:val="FE5F83F7"/>
    <w:multiLevelType w:val="singleLevel"/>
    <w:tmpl w:val="FE5F83F7"/>
    <w:lvl w:ilvl="0" w:tentative="0">
      <w:start w:val="2"/>
      <w:numFmt w:val="decimal"/>
      <w:suff w:val="nothing"/>
      <w:lvlText w:val="（%1）"/>
      <w:lvlJc w:val="left"/>
    </w:lvl>
  </w:abstractNum>
  <w:abstractNum w:abstractNumId="2">
    <w:nsid w:val="FEBAB550"/>
    <w:multiLevelType w:val="singleLevel"/>
    <w:tmpl w:val="FEBAB550"/>
    <w:lvl w:ilvl="0" w:tentative="0">
      <w:start w:val="2"/>
      <w:numFmt w:val="decimal"/>
      <w:suff w:val="nothing"/>
      <w:lvlText w:val="（%1）"/>
      <w:lvlJc w:val="left"/>
    </w:lvl>
  </w:abstractNum>
  <w:abstractNum w:abstractNumId="3">
    <w:nsid w:val="FFFE2B3C"/>
    <w:multiLevelType w:val="singleLevel"/>
    <w:tmpl w:val="FFFE2B3C"/>
    <w:lvl w:ilvl="0" w:tentative="0">
      <w:start w:val="2"/>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ZTU3MzJiMTBiODAxNzhkNTI3YzZiZWY2MTQ5YjAifQ=="/>
  </w:docVars>
  <w:rsids>
    <w:rsidRoot w:val="00687851"/>
    <w:rsid w:val="00003F2E"/>
    <w:rsid w:val="0000701D"/>
    <w:rsid w:val="00021642"/>
    <w:rsid w:val="00030159"/>
    <w:rsid w:val="00037F32"/>
    <w:rsid w:val="00047EE3"/>
    <w:rsid w:val="00074F7C"/>
    <w:rsid w:val="000754AA"/>
    <w:rsid w:val="00082012"/>
    <w:rsid w:val="00082099"/>
    <w:rsid w:val="000A4EB9"/>
    <w:rsid w:val="000B26F2"/>
    <w:rsid w:val="000C0D08"/>
    <w:rsid w:val="000C524D"/>
    <w:rsid w:val="000D073F"/>
    <w:rsid w:val="000D34A7"/>
    <w:rsid w:val="000E6F0A"/>
    <w:rsid w:val="000F4964"/>
    <w:rsid w:val="001023BC"/>
    <w:rsid w:val="00104079"/>
    <w:rsid w:val="00130572"/>
    <w:rsid w:val="00142EFB"/>
    <w:rsid w:val="0018736C"/>
    <w:rsid w:val="001A1CC7"/>
    <w:rsid w:val="001A2B0A"/>
    <w:rsid w:val="001B3328"/>
    <w:rsid w:val="001C2D1B"/>
    <w:rsid w:val="001D5FB4"/>
    <w:rsid w:val="001F714C"/>
    <w:rsid w:val="00200712"/>
    <w:rsid w:val="002324E5"/>
    <w:rsid w:val="002554E6"/>
    <w:rsid w:val="002672A3"/>
    <w:rsid w:val="00284F38"/>
    <w:rsid w:val="002A0713"/>
    <w:rsid w:val="002A5BDF"/>
    <w:rsid w:val="002B1FE7"/>
    <w:rsid w:val="002B247F"/>
    <w:rsid w:val="002C32D2"/>
    <w:rsid w:val="002D0DBE"/>
    <w:rsid w:val="002E33DE"/>
    <w:rsid w:val="002F1A01"/>
    <w:rsid w:val="0031220F"/>
    <w:rsid w:val="003277B2"/>
    <w:rsid w:val="00332374"/>
    <w:rsid w:val="00336444"/>
    <w:rsid w:val="00340B7F"/>
    <w:rsid w:val="00354998"/>
    <w:rsid w:val="00380D2E"/>
    <w:rsid w:val="00392DC5"/>
    <w:rsid w:val="003B1260"/>
    <w:rsid w:val="003B380A"/>
    <w:rsid w:val="003C0E2B"/>
    <w:rsid w:val="003D356A"/>
    <w:rsid w:val="003D3A6E"/>
    <w:rsid w:val="003F2B2A"/>
    <w:rsid w:val="00403795"/>
    <w:rsid w:val="004132DB"/>
    <w:rsid w:val="00422454"/>
    <w:rsid w:val="00437241"/>
    <w:rsid w:val="00442F74"/>
    <w:rsid w:val="00450202"/>
    <w:rsid w:val="004569C2"/>
    <w:rsid w:val="00474029"/>
    <w:rsid w:val="00474284"/>
    <w:rsid w:val="00474F7B"/>
    <w:rsid w:val="00481E80"/>
    <w:rsid w:val="0048547B"/>
    <w:rsid w:val="004919E9"/>
    <w:rsid w:val="004A1F30"/>
    <w:rsid w:val="004B0494"/>
    <w:rsid w:val="004B7188"/>
    <w:rsid w:val="004C2382"/>
    <w:rsid w:val="004C6467"/>
    <w:rsid w:val="00500FC2"/>
    <w:rsid w:val="00520315"/>
    <w:rsid w:val="00525763"/>
    <w:rsid w:val="00536A71"/>
    <w:rsid w:val="00543919"/>
    <w:rsid w:val="00562081"/>
    <w:rsid w:val="00597136"/>
    <w:rsid w:val="005C088A"/>
    <w:rsid w:val="005C6ADC"/>
    <w:rsid w:val="005D6284"/>
    <w:rsid w:val="005D67A5"/>
    <w:rsid w:val="006030FD"/>
    <w:rsid w:val="006052FB"/>
    <w:rsid w:val="0061062D"/>
    <w:rsid w:val="00620FB9"/>
    <w:rsid w:val="0062478B"/>
    <w:rsid w:val="006273CD"/>
    <w:rsid w:val="006476FC"/>
    <w:rsid w:val="00687851"/>
    <w:rsid w:val="006A1DCC"/>
    <w:rsid w:val="006A6554"/>
    <w:rsid w:val="006D58E0"/>
    <w:rsid w:val="006E321E"/>
    <w:rsid w:val="007017CA"/>
    <w:rsid w:val="007076E2"/>
    <w:rsid w:val="00733BE0"/>
    <w:rsid w:val="00735AF8"/>
    <w:rsid w:val="007639EE"/>
    <w:rsid w:val="00785402"/>
    <w:rsid w:val="007858E8"/>
    <w:rsid w:val="0079025C"/>
    <w:rsid w:val="00794050"/>
    <w:rsid w:val="00796C1B"/>
    <w:rsid w:val="007B1217"/>
    <w:rsid w:val="00801E28"/>
    <w:rsid w:val="00815197"/>
    <w:rsid w:val="00817CF4"/>
    <w:rsid w:val="008338EC"/>
    <w:rsid w:val="00837157"/>
    <w:rsid w:val="0085051B"/>
    <w:rsid w:val="00861A5C"/>
    <w:rsid w:val="0088518B"/>
    <w:rsid w:val="008C63CC"/>
    <w:rsid w:val="008D3994"/>
    <w:rsid w:val="008F4CE6"/>
    <w:rsid w:val="008F6354"/>
    <w:rsid w:val="00903D13"/>
    <w:rsid w:val="00910915"/>
    <w:rsid w:val="0092022F"/>
    <w:rsid w:val="009235A1"/>
    <w:rsid w:val="0092615F"/>
    <w:rsid w:val="00940ADA"/>
    <w:rsid w:val="009456F9"/>
    <w:rsid w:val="00986B46"/>
    <w:rsid w:val="009A3220"/>
    <w:rsid w:val="009B0BB4"/>
    <w:rsid w:val="009B2108"/>
    <w:rsid w:val="009B3C0C"/>
    <w:rsid w:val="009B6FBA"/>
    <w:rsid w:val="009F78D7"/>
    <w:rsid w:val="00A12211"/>
    <w:rsid w:val="00A906C3"/>
    <w:rsid w:val="00AA71DD"/>
    <w:rsid w:val="00AB6AB5"/>
    <w:rsid w:val="00AC02FE"/>
    <w:rsid w:val="00AE6D1E"/>
    <w:rsid w:val="00AE73D1"/>
    <w:rsid w:val="00AF6F32"/>
    <w:rsid w:val="00AF7A07"/>
    <w:rsid w:val="00B06CBC"/>
    <w:rsid w:val="00B10644"/>
    <w:rsid w:val="00B2121F"/>
    <w:rsid w:val="00B27708"/>
    <w:rsid w:val="00B47C3D"/>
    <w:rsid w:val="00B65FAE"/>
    <w:rsid w:val="00B75DA9"/>
    <w:rsid w:val="00B86AA7"/>
    <w:rsid w:val="00BB46FA"/>
    <w:rsid w:val="00BB69F4"/>
    <w:rsid w:val="00BE1545"/>
    <w:rsid w:val="00BE44EA"/>
    <w:rsid w:val="00BE692F"/>
    <w:rsid w:val="00C1134F"/>
    <w:rsid w:val="00C139F8"/>
    <w:rsid w:val="00C1523D"/>
    <w:rsid w:val="00C15BE7"/>
    <w:rsid w:val="00C24726"/>
    <w:rsid w:val="00C53933"/>
    <w:rsid w:val="00C60FC8"/>
    <w:rsid w:val="00C6664C"/>
    <w:rsid w:val="00C745C4"/>
    <w:rsid w:val="00C817D0"/>
    <w:rsid w:val="00C82685"/>
    <w:rsid w:val="00C835C9"/>
    <w:rsid w:val="00C87A83"/>
    <w:rsid w:val="00CB5EB0"/>
    <w:rsid w:val="00CC33D9"/>
    <w:rsid w:val="00CC664D"/>
    <w:rsid w:val="00CD362F"/>
    <w:rsid w:val="00CD7204"/>
    <w:rsid w:val="00CD72DF"/>
    <w:rsid w:val="00CE04F0"/>
    <w:rsid w:val="00D269EA"/>
    <w:rsid w:val="00D54DB6"/>
    <w:rsid w:val="00D638F5"/>
    <w:rsid w:val="00D6574E"/>
    <w:rsid w:val="00D725D2"/>
    <w:rsid w:val="00D86590"/>
    <w:rsid w:val="00D9456B"/>
    <w:rsid w:val="00DC6501"/>
    <w:rsid w:val="00DD7F90"/>
    <w:rsid w:val="00DE0060"/>
    <w:rsid w:val="00DE028A"/>
    <w:rsid w:val="00E0470D"/>
    <w:rsid w:val="00E115BA"/>
    <w:rsid w:val="00E1336D"/>
    <w:rsid w:val="00E16401"/>
    <w:rsid w:val="00E17470"/>
    <w:rsid w:val="00E20363"/>
    <w:rsid w:val="00E44429"/>
    <w:rsid w:val="00E5172A"/>
    <w:rsid w:val="00E63375"/>
    <w:rsid w:val="00E66F5E"/>
    <w:rsid w:val="00E840BE"/>
    <w:rsid w:val="00E96880"/>
    <w:rsid w:val="00EA6C8F"/>
    <w:rsid w:val="00EA7695"/>
    <w:rsid w:val="00EE4840"/>
    <w:rsid w:val="00F11214"/>
    <w:rsid w:val="00F3022A"/>
    <w:rsid w:val="00F365D8"/>
    <w:rsid w:val="00F80C50"/>
    <w:rsid w:val="00F86B03"/>
    <w:rsid w:val="00FD6D34"/>
    <w:rsid w:val="00FE3117"/>
    <w:rsid w:val="014063FE"/>
    <w:rsid w:val="014D28C9"/>
    <w:rsid w:val="015772A4"/>
    <w:rsid w:val="016C707D"/>
    <w:rsid w:val="018C519F"/>
    <w:rsid w:val="01B6221C"/>
    <w:rsid w:val="01FB40D3"/>
    <w:rsid w:val="01FE433E"/>
    <w:rsid w:val="02145195"/>
    <w:rsid w:val="023F410C"/>
    <w:rsid w:val="0264611C"/>
    <w:rsid w:val="0284781B"/>
    <w:rsid w:val="0298763F"/>
    <w:rsid w:val="02B52B3C"/>
    <w:rsid w:val="02E05CCD"/>
    <w:rsid w:val="02EC30BD"/>
    <w:rsid w:val="02FA25DD"/>
    <w:rsid w:val="030E7AA0"/>
    <w:rsid w:val="031652A4"/>
    <w:rsid w:val="031E276F"/>
    <w:rsid w:val="03232B43"/>
    <w:rsid w:val="035C6DF3"/>
    <w:rsid w:val="0361265C"/>
    <w:rsid w:val="037701A9"/>
    <w:rsid w:val="03B409DD"/>
    <w:rsid w:val="03EE3A96"/>
    <w:rsid w:val="03F914B2"/>
    <w:rsid w:val="0400486A"/>
    <w:rsid w:val="040421E4"/>
    <w:rsid w:val="04043713"/>
    <w:rsid w:val="040741AC"/>
    <w:rsid w:val="04097395"/>
    <w:rsid w:val="046E3282"/>
    <w:rsid w:val="048C0345"/>
    <w:rsid w:val="049A7BD3"/>
    <w:rsid w:val="049F4BB5"/>
    <w:rsid w:val="04C06862"/>
    <w:rsid w:val="04D330E5"/>
    <w:rsid w:val="04D857F3"/>
    <w:rsid w:val="050634BB"/>
    <w:rsid w:val="050A25F3"/>
    <w:rsid w:val="05177B78"/>
    <w:rsid w:val="052B1173"/>
    <w:rsid w:val="054B711F"/>
    <w:rsid w:val="055B49B5"/>
    <w:rsid w:val="0575419C"/>
    <w:rsid w:val="0576099D"/>
    <w:rsid w:val="057C552B"/>
    <w:rsid w:val="05882122"/>
    <w:rsid w:val="05946D18"/>
    <w:rsid w:val="05C054C9"/>
    <w:rsid w:val="05F50956"/>
    <w:rsid w:val="05F94DCD"/>
    <w:rsid w:val="06045D1C"/>
    <w:rsid w:val="061F255D"/>
    <w:rsid w:val="064A387B"/>
    <w:rsid w:val="06624721"/>
    <w:rsid w:val="066300A9"/>
    <w:rsid w:val="06A07511"/>
    <w:rsid w:val="06A50AB1"/>
    <w:rsid w:val="06B77951"/>
    <w:rsid w:val="06B979A1"/>
    <w:rsid w:val="06D11036"/>
    <w:rsid w:val="06D118A6"/>
    <w:rsid w:val="06E25698"/>
    <w:rsid w:val="06E26E91"/>
    <w:rsid w:val="06F07F7E"/>
    <w:rsid w:val="06F32700"/>
    <w:rsid w:val="074676D6"/>
    <w:rsid w:val="07697D31"/>
    <w:rsid w:val="078B414B"/>
    <w:rsid w:val="079170AD"/>
    <w:rsid w:val="07A877C1"/>
    <w:rsid w:val="07AB0349"/>
    <w:rsid w:val="083366AE"/>
    <w:rsid w:val="083B791F"/>
    <w:rsid w:val="086329D2"/>
    <w:rsid w:val="08765297"/>
    <w:rsid w:val="087B7D1C"/>
    <w:rsid w:val="08C031CE"/>
    <w:rsid w:val="08C30964"/>
    <w:rsid w:val="08DB6A0C"/>
    <w:rsid w:val="08F76E52"/>
    <w:rsid w:val="090E276A"/>
    <w:rsid w:val="09281E3F"/>
    <w:rsid w:val="092E2FE0"/>
    <w:rsid w:val="09722ECD"/>
    <w:rsid w:val="098600F9"/>
    <w:rsid w:val="099D3652"/>
    <w:rsid w:val="09DC611C"/>
    <w:rsid w:val="09F204A9"/>
    <w:rsid w:val="09F204B1"/>
    <w:rsid w:val="0A014800"/>
    <w:rsid w:val="0A0F4BBF"/>
    <w:rsid w:val="0A193FB0"/>
    <w:rsid w:val="0A3649FE"/>
    <w:rsid w:val="0A4C5E14"/>
    <w:rsid w:val="0A550002"/>
    <w:rsid w:val="0A670558"/>
    <w:rsid w:val="0A960E3D"/>
    <w:rsid w:val="0AC729EC"/>
    <w:rsid w:val="0AD65C8D"/>
    <w:rsid w:val="0AED1869"/>
    <w:rsid w:val="0B0764B4"/>
    <w:rsid w:val="0B212DFC"/>
    <w:rsid w:val="0B4C599F"/>
    <w:rsid w:val="0B955598"/>
    <w:rsid w:val="0B9D4CB5"/>
    <w:rsid w:val="0BA17102"/>
    <w:rsid w:val="0BB4354D"/>
    <w:rsid w:val="0BC6346F"/>
    <w:rsid w:val="0BCB4B16"/>
    <w:rsid w:val="0BE502CE"/>
    <w:rsid w:val="0C232BA4"/>
    <w:rsid w:val="0C4843B9"/>
    <w:rsid w:val="0C5F066F"/>
    <w:rsid w:val="0C656D19"/>
    <w:rsid w:val="0C8403F3"/>
    <w:rsid w:val="0C973D2E"/>
    <w:rsid w:val="0CC51EAD"/>
    <w:rsid w:val="0CD93263"/>
    <w:rsid w:val="0CDD536B"/>
    <w:rsid w:val="0D0271E7"/>
    <w:rsid w:val="0D41674E"/>
    <w:rsid w:val="0D4903E8"/>
    <w:rsid w:val="0D554FDF"/>
    <w:rsid w:val="0D8256A8"/>
    <w:rsid w:val="0D8366EA"/>
    <w:rsid w:val="0D883FB7"/>
    <w:rsid w:val="0D957AD2"/>
    <w:rsid w:val="0DA41AC3"/>
    <w:rsid w:val="0DB55A7E"/>
    <w:rsid w:val="0DC32428"/>
    <w:rsid w:val="0DC363ED"/>
    <w:rsid w:val="0DC61A39"/>
    <w:rsid w:val="0DDA6377"/>
    <w:rsid w:val="0DE95727"/>
    <w:rsid w:val="0DF74045"/>
    <w:rsid w:val="0E012A71"/>
    <w:rsid w:val="0E0D2049"/>
    <w:rsid w:val="0E2D5C9A"/>
    <w:rsid w:val="0E35096D"/>
    <w:rsid w:val="0E5E3DE1"/>
    <w:rsid w:val="0E7027A9"/>
    <w:rsid w:val="0E78713E"/>
    <w:rsid w:val="0EAE2A4C"/>
    <w:rsid w:val="0EB421D9"/>
    <w:rsid w:val="0EB43F87"/>
    <w:rsid w:val="0EC87A33"/>
    <w:rsid w:val="0ECA604E"/>
    <w:rsid w:val="0EE63C63"/>
    <w:rsid w:val="0EE7610B"/>
    <w:rsid w:val="0F1862C4"/>
    <w:rsid w:val="0F234DF6"/>
    <w:rsid w:val="0F4E1CE6"/>
    <w:rsid w:val="0F590ACF"/>
    <w:rsid w:val="0F7F5717"/>
    <w:rsid w:val="0F9242C9"/>
    <w:rsid w:val="0FFC7994"/>
    <w:rsid w:val="10246669"/>
    <w:rsid w:val="10502499"/>
    <w:rsid w:val="105F09B4"/>
    <w:rsid w:val="10797237"/>
    <w:rsid w:val="109D6F15"/>
    <w:rsid w:val="10C54811"/>
    <w:rsid w:val="10CB4721"/>
    <w:rsid w:val="10F773B6"/>
    <w:rsid w:val="11205904"/>
    <w:rsid w:val="112F78F5"/>
    <w:rsid w:val="11423ACC"/>
    <w:rsid w:val="11511F61"/>
    <w:rsid w:val="11567578"/>
    <w:rsid w:val="116E041E"/>
    <w:rsid w:val="119966EE"/>
    <w:rsid w:val="119E6026"/>
    <w:rsid w:val="11C76C30"/>
    <w:rsid w:val="11F231A0"/>
    <w:rsid w:val="120668A8"/>
    <w:rsid w:val="120F3A28"/>
    <w:rsid w:val="121A05A5"/>
    <w:rsid w:val="1222745A"/>
    <w:rsid w:val="124A70DD"/>
    <w:rsid w:val="125834B0"/>
    <w:rsid w:val="12657274"/>
    <w:rsid w:val="12672502"/>
    <w:rsid w:val="12687563"/>
    <w:rsid w:val="127B52C0"/>
    <w:rsid w:val="12D76496"/>
    <w:rsid w:val="12E0359D"/>
    <w:rsid w:val="12F9273B"/>
    <w:rsid w:val="13333501"/>
    <w:rsid w:val="13386F35"/>
    <w:rsid w:val="133E2072"/>
    <w:rsid w:val="1340228E"/>
    <w:rsid w:val="13547E7A"/>
    <w:rsid w:val="1379754E"/>
    <w:rsid w:val="139B53E8"/>
    <w:rsid w:val="13AA7B70"/>
    <w:rsid w:val="13AD07FA"/>
    <w:rsid w:val="13D77393"/>
    <w:rsid w:val="13E16CA1"/>
    <w:rsid w:val="13EE50A1"/>
    <w:rsid w:val="14067033"/>
    <w:rsid w:val="141D25CF"/>
    <w:rsid w:val="1437543F"/>
    <w:rsid w:val="14535ED3"/>
    <w:rsid w:val="14553B17"/>
    <w:rsid w:val="147C7AB5"/>
    <w:rsid w:val="147F2158"/>
    <w:rsid w:val="148D4B69"/>
    <w:rsid w:val="14900024"/>
    <w:rsid w:val="14FC3F92"/>
    <w:rsid w:val="1512464D"/>
    <w:rsid w:val="152359C3"/>
    <w:rsid w:val="1538745D"/>
    <w:rsid w:val="15545745"/>
    <w:rsid w:val="155EB439"/>
    <w:rsid w:val="1577593E"/>
    <w:rsid w:val="15835927"/>
    <w:rsid w:val="15A13EAF"/>
    <w:rsid w:val="15B64A89"/>
    <w:rsid w:val="15E06243"/>
    <w:rsid w:val="16317542"/>
    <w:rsid w:val="166D15EC"/>
    <w:rsid w:val="166E0EC0"/>
    <w:rsid w:val="16B87522"/>
    <w:rsid w:val="16F64774"/>
    <w:rsid w:val="17740758"/>
    <w:rsid w:val="177E3384"/>
    <w:rsid w:val="17A74645"/>
    <w:rsid w:val="17BB1EE3"/>
    <w:rsid w:val="17CC2342"/>
    <w:rsid w:val="17D52626"/>
    <w:rsid w:val="1800002D"/>
    <w:rsid w:val="18115FA7"/>
    <w:rsid w:val="18331575"/>
    <w:rsid w:val="183E52E1"/>
    <w:rsid w:val="186153CD"/>
    <w:rsid w:val="186500A0"/>
    <w:rsid w:val="18782DEF"/>
    <w:rsid w:val="18AA4106"/>
    <w:rsid w:val="18D314AE"/>
    <w:rsid w:val="18D47700"/>
    <w:rsid w:val="190455CA"/>
    <w:rsid w:val="190D49C0"/>
    <w:rsid w:val="195A572B"/>
    <w:rsid w:val="195F08E7"/>
    <w:rsid w:val="1968518A"/>
    <w:rsid w:val="196F567B"/>
    <w:rsid w:val="19B4308D"/>
    <w:rsid w:val="19C078B4"/>
    <w:rsid w:val="19C175CE"/>
    <w:rsid w:val="19D35C0A"/>
    <w:rsid w:val="1A0758B3"/>
    <w:rsid w:val="1A0F4768"/>
    <w:rsid w:val="1A204BC7"/>
    <w:rsid w:val="1A2C356C"/>
    <w:rsid w:val="1A507037"/>
    <w:rsid w:val="1A646862"/>
    <w:rsid w:val="1A846F04"/>
    <w:rsid w:val="1A92287B"/>
    <w:rsid w:val="1A937147"/>
    <w:rsid w:val="1AB71087"/>
    <w:rsid w:val="1B1D07A3"/>
    <w:rsid w:val="1B60159A"/>
    <w:rsid w:val="1B707488"/>
    <w:rsid w:val="1B8D3B96"/>
    <w:rsid w:val="1BAD248A"/>
    <w:rsid w:val="1BD36403"/>
    <w:rsid w:val="1BF553BE"/>
    <w:rsid w:val="1BF65BDF"/>
    <w:rsid w:val="1C113C73"/>
    <w:rsid w:val="1C1C7884"/>
    <w:rsid w:val="1C222AC8"/>
    <w:rsid w:val="1C37233E"/>
    <w:rsid w:val="1C7D0090"/>
    <w:rsid w:val="1C9636EE"/>
    <w:rsid w:val="1CCA115E"/>
    <w:rsid w:val="1CD001DE"/>
    <w:rsid w:val="1CFA539A"/>
    <w:rsid w:val="1D0808AC"/>
    <w:rsid w:val="1D7E5E8C"/>
    <w:rsid w:val="1D8C0D5E"/>
    <w:rsid w:val="1D8C0F6A"/>
    <w:rsid w:val="1D8F27CA"/>
    <w:rsid w:val="1DA23165"/>
    <w:rsid w:val="1DB6535C"/>
    <w:rsid w:val="1E13619C"/>
    <w:rsid w:val="1E4A5D6E"/>
    <w:rsid w:val="1E8540C4"/>
    <w:rsid w:val="1E9811D0"/>
    <w:rsid w:val="1EBD29E4"/>
    <w:rsid w:val="1EE95587"/>
    <w:rsid w:val="1EF67CA4"/>
    <w:rsid w:val="1EF74148"/>
    <w:rsid w:val="1F120CEC"/>
    <w:rsid w:val="1F204D21"/>
    <w:rsid w:val="1F345854"/>
    <w:rsid w:val="1F572E39"/>
    <w:rsid w:val="1F78690B"/>
    <w:rsid w:val="1F7D7A76"/>
    <w:rsid w:val="1F8F4381"/>
    <w:rsid w:val="1FBB33C8"/>
    <w:rsid w:val="1FC5015F"/>
    <w:rsid w:val="20077EA2"/>
    <w:rsid w:val="20266813"/>
    <w:rsid w:val="20270A5D"/>
    <w:rsid w:val="20337402"/>
    <w:rsid w:val="206041FD"/>
    <w:rsid w:val="206176AE"/>
    <w:rsid w:val="20BD507E"/>
    <w:rsid w:val="20E97A86"/>
    <w:rsid w:val="20EC19A1"/>
    <w:rsid w:val="20F85B0D"/>
    <w:rsid w:val="21052421"/>
    <w:rsid w:val="213276BA"/>
    <w:rsid w:val="215D04AF"/>
    <w:rsid w:val="21734C45"/>
    <w:rsid w:val="2197751D"/>
    <w:rsid w:val="219C2D85"/>
    <w:rsid w:val="21B05F66"/>
    <w:rsid w:val="21BF2058"/>
    <w:rsid w:val="21C3200F"/>
    <w:rsid w:val="21D2789D"/>
    <w:rsid w:val="21E32762"/>
    <w:rsid w:val="21F703DC"/>
    <w:rsid w:val="22186862"/>
    <w:rsid w:val="22206EEB"/>
    <w:rsid w:val="2259260B"/>
    <w:rsid w:val="2268710B"/>
    <w:rsid w:val="228652FD"/>
    <w:rsid w:val="228F4698"/>
    <w:rsid w:val="22C205C9"/>
    <w:rsid w:val="22CB3A58"/>
    <w:rsid w:val="231177A3"/>
    <w:rsid w:val="23353491"/>
    <w:rsid w:val="235558E1"/>
    <w:rsid w:val="2360517C"/>
    <w:rsid w:val="238E494F"/>
    <w:rsid w:val="239B23D6"/>
    <w:rsid w:val="23F56FE2"/>
    <w:rsid w:val="2419493C"/>
    <w:rsid w:val="241C01AD"/>
    <w:rsid w:val="24205FC4"/>
    <w:rsid w:val="24466FD8"/>
    <w:rsid w:val="246A0F18"/>
    <w:rsid w:val="247401AA"/>
    <w:rsid w:val="24785D2A"/>
    <w:rsid w:val="2480104E"/>
    <w:rsid w:val="249275BA"/>
    <w:rsid w:val="24A5429E"/>
    <w:rsid w:val="24A831E4"/>
    <w:rsid w:val="25076767"/>
    <w:rsid w:val="255F47F5"/>
    <w:rsid w:val="25637A1C"/>
    <w:rsid w:val="257152EF"/>
    <w:rsid w:val="25826736"/>
    <w:rsid w:val="25900E53"/>
    <w:rsid w:val="25A20B86"/>
    <w:rsid w:val="26154EB4"/>
    <w:rsid w:val="26227E3E"/>
    <w:rsid w:val="26676E0F"/>
    <w:rsid w:val="266D6A9E"/>
    <w:rsid w:val="268A3AF4"/>
    <w:rsid w:val="26AD333E"/>
    <w:rsid w:val="26C62652"/>
    <w:rsid w:val="26D27249"/>
    <w:rsid w:val="26E36DC1"/>
    <w:rsid w:val="26E676C7"/>
    <w:rsid w:val="26E8154E"/>
    <w:rsid w:val="272950BB"/>
    <w:rsid w:val="272F02B4"/>
    <w:rsid w:val="276053C9"/>
    <w:rsid w:val="276326EF"/>
    <w:rsid w:val="27764078"/>
    <w:rsid w:val="27851CD2"/>
    <w:rsid w:val="27A504B9"/>
    <w:rsid w:val="27B150B0"/>
    <w:rsid w:val="27BF66D8"/>
    <w:rsid w:val="284853B3"/>
    <w:rsid w:val="28497097"/>
    <w:rsid w:val="28A864B3"/>
    <w:rsid w:val="28F2248E"/>
    <w:rsid w:val="29141E5F"/>
    <w:rsid w:val="29226266"/>
    <w:rsid w:val="294A30C6"/>
    <w:rsid w:val="294C274A"/>
    <w:rsid w:val="294C32E2"/>
    <w:rsid w:val="294E18B8"/>
    <w:rsid w:val="29534671"/>
    <w:rsid w:val="296954C0"/>
    <w:rsid w:val="298E56A9"/>
    <w:rsid w:val="29955671"/>
    <w:rsid w:val="29B50E88"/>
    <w:rsid w:val="29C015DB"/>
    <w:rsid w:val="29C966E1"/>
    <w:rsid w:val="29D97CA1"/>
    <w:rsid w:val="29EE7EF6"/>
    <w:rsid w:val="29F02D87"/>
    <w:rsid w:val="29F86781"/>
    <w:rsid w:val="2A057988"/>
    <w:rsid w:val="2A4C4255"/>
    <w:rsid w:val="2A7F1496"/>
    <w:rsid w:val="2A7F3244"/>
    <w:rsid w:val="2AAD5817"/>
    <w:rsid w:val="2ADB5CCE"/>
    <w:rsid w:val="2AE61515"/>
    <w:rsid w:val="2B072474"/>
    <w:rsid w:val="2B2A419B"/>
    <w:rsid w:val="2B525D59"/>
    <w:rsid w:val="2B683CD8"/>
    <w:rsid w:val="2B693E65"/>
    <w:rsid w:val="2BCF3D57"/>
    <w:rsid w:val="2C193A55"/>
    <w:rsid w:val="2C6B3A80"/>
    <w:rsid w:val="2C882884"/>
    <w:rsid w:val="2C9A6F3E"/>
    <w:rsid w:val="2CBB0227"/>
    <w:rsid w:val="2CBF5B79"/>
    <w:rsid w:val="2D240891"/>
    <w:rsid w:val="2D482FF2"/>
    <w:rsid w:val="2D6A3D37"/>
    <w:rsid w:val="2D7031E5"/>
    <w:rsid w:val="2DD438A6"/>
    <w:rsid w:val="2DEA4E78"/>
    <w:rsid w:val="2DF340C5"/>
    <w:rsid w:val="2E0C3040"/>
    <w:rsid w:val="2E1A39AF"/>
    <w:rsid w:val="2E25667F"/>
    <w:rsid w:val="2E4B5FEA"/>
    <w:rsid w:val="2E701244"/>
    <w:rsid w:val="2EB63ED8"/>
    <w:rsid w:val="2EBF3113"/>
    <w:rsid w:val="2EF75A9F"/>
    <w:rsid w:val="2EFA733D"/>
    <w:rsid w:val="2F3F109E"/>
    <w:rsid w:val="2F6C5386"/>
    <w:rsid w:val="2F930B2E"/>
    <w:rsid w:val="2FA21EAE"/>
    <w:rsid w:val="2FD63906"/>
    <w:rsid w:val="2FD86032"/>
    <w:rsid w:val="2FDB2CCA"/>
    <w:rsid w:val="303562C4"/>
    <w:rsid w:val="308E41E1"/>
    <w:rsid w:val="30915A7F"/>
    <w:rsid w:val="30B52F3C"/>
    <w:rsid w:val="30B6591F"/>
    <w:rsid w:val="30D95414"/>
    <w:rsid w:val="30DB6CFA"/>
    <w:rsid w:val="30DF2C8E"/>
    <w:rsid w:val="30F524B2"/>
    <w:rsid w:val="30FF6E8C"/>
    <w:rsid w:val="3112096E"/>
    <w:rsid w:val="315C6976"/>
    <w:rsid w:val="317B6345"/>
    <w:rsid w:val="317D0C84"/>
    <w:rsid w:val="31A0108C"/>
    <w:rsid w:val="31A124F9"/>
    <w:rsid w:val="31C455B8"/>
    <w:rsid w:val="31D245A1"/>
    <w:rsid w:val="31E53BD8"/>
    <w:rsid w:val="32002078"/>
    <w:rsid w:val="3201061E"/>
    <w:rsid w:val="323D5EBE"/>
    <w:rsid w:val="326C0551"/>
    <w:rsid w:val="32794A1C"/>
    <w:rsid w:val="328238D1"/>
    <w:rsid w:val="328D094D"/>
    <w:rsid w:val="32971CBE"/>
    <w:rsid w:val="32A52617"/>
    <w:rsid w:val="32B837E3"/>
    <w:rsid w:val="32BA28B0"/>
    <w:rsid w:val="334D5A7D"/>
    <w:rsid w:val="336467CA"/>
    <w:rsid w:val="339C6C14"/>
    <w:rsid w:val="33D37F6C"/>
    <w:rsid w:val="33D436D4"/>
    <w:rsid w:val="33D8467A"/>
    <w:rsid w:val="33F16F60"/>
    <w:rsid w:val="346239BA"/>
    <w:rsid w:val="348C7AC7"/>
    <w:rsid w:val="34945B3E"/>
    <w:rsid w:val="34A76CCE"/>
    <w:rsid w:val="34B63260"/>
    <w:rsid w:val="34C54279"/>
    <w:rsid w:val="34FB796B"/>
    <w:rsid w:val="35101668"/>
    <w:rsid w:val="355E2D37"/>
    <w:rsid w:val="35727C2D"/>
    <w:rsid w:val="35A818A1"/>
    <w:rsid w:val="35AD50CD"/>
    <w:rsid w:val="35AF7982"/>
    <w:rsid w:val="35C44201"/>
    <w:rsid w:val="35D570A7"/>
    <w:rsid w:val="360828B0"/>
    <w:rsid w:val="3619279E"/>
    <w:rsid w:val="36682270"/>
    <w:rsid w:val="3671297B"/>
    <w:rsid w:val="368107F0"/>
    <w:rsid w:val="36BD75CE"/>
    <w:rsid w:val="36DB7A54"/>
    <w:rsid w:val="36FC5323"/>
    <w:rsid w:val="370C0B61"/>
    <w:rsid w:val="37461780"/>
    <w:rsid w:val="375BB594"/>
    <w:rsid w:val="37661A13"/>
    <w:rsid w:val="37767B85"/>
    <w:rsid w:val="37870924"/>
    <w:rsid w:val="37952FAE"/>
    <w:rsid w:val="379A346B"/>
    <w:rsid w:val="37B704C1"/>
    <w:rsid w:val="37C17FF9"/>
    <w:rsid w:val="37D56B99"/>
    <w:rsid w:val="37E868CC"/>
    <w:rsid w:val="37F76B0F"/>
    <w:rsid w:val="37FF101A"/>
    <w:rsid w:val="380D00E1"/>
    <w:rsid w:val="382F0057"/>
    <w:rsid w:val="386D6DD1"/>
    <w:rsid w:val="38706294"/>
    <w:rsid w:val="387E532F"/>
    <w:rsid w:val="388859B9"/>
    <w:rsid w:val="38B2146E"/>
    <w:rsid w:val="38D635A9"/>
    <w:rsid w:val="390F63FC"/>
    <w:rsid w:val="390F7E89"/>
    <w:rsid w:val="39113C01"/>
    <w:rsid w:val="392F1E02"/>
    <w:rsid w:val="39355B41"/>
    <w:rsid w:val="3949339B"/>
    <w:rsid w:val="39662509"/>
    <w:rsid w:val="39665CFB"/>
    <w:rsid w:val="39B027FB"/>
    <w:rsid w:val="39EB4452"/>
    <w:rsid w:val="39FE045C"/>
    <w:rsid w:val="3A1219DE"/>
    <w:rsid w:val="3A241434"/>
    <w:rsid w:val="3A295D3E"/>
    <w:rsid w:val="3A371445"/>
    <w:rsid w:val="3A4F1927"/>
    <w:rsid w:val="3A6B5927"/>
    <w:rsid w:val="3A775CE5"/>
    <w:rsid w:val="3AC058DE"/>
    <w:rsid w:val="3AC075CD"/>
    <w:rsid w:val="3AEB0CAF"/>
    <w:rsid w:val="3AF91BA6"/>
    <w:rsid w:val="3B1E24AF"/>
    <w:rsid w:val="3B464036"/>
    <w:rsid w:val="3B481586"/>
    <w:rsid w:val="3B551553"/>
    <w:rsid w:val="3B585B17"/>
    <w:rsid w:val="3B743400"/>
    <w:rsid w:val="3BE70C49"/>
    <w:rsid w:val="3BFD114C"/>
    <w:rsid w:val="3BFF484A"/>
    <w:rsid w:val="3C3B7327"/>
    <w:rsid w:val="3C3F2833"/>
    <w:rsid w:val="3C4936B2"/>
    <w:rsid w:val="3C8B3CCA"/>
    <w:rsid w:val="3CAB6883"/>
    <w:rsid w:val="3CBC3E83"/>
    <w:rsid w:val="3CDE32A8"/>
    <w:rsid w:val="3CE60F00"/>
    <w:rsid w:val="3CEE3AD4"/>
    <w:rsid w:val="3D204412"/>
    <w:rsid w:val="3D4804D3"/>
    <w:rsid w:val="3D884892"/>
    <w:rsid w:val="3DC15BF5"/>
    <w:rsid w:val="3DFD5176"/>
    <w:rsid w:val="3E1321C9"/>
    <w:rsid w:val="3E3143FD"/>
    <w:rsid w:val="3E522CF1"/>
    <w:rsid w:val="3E6842C3"/>
    <w:rsid w:val="3EB7CE9B"/>
    <w:rsid w:val="3ED934B1"/>
    <w:rsid w:val="3EE71252"/>
    <w:rsid w:val="3F1A5DE9"/>
    <w:rsid w:val="3F4D5CCE"/>
    <w:rsid w:val="3F5F1BFC"/>
    <w:rsid w:val="3F60790A"/>
    <w:rsid w:val="3F72F253"/>
    <w:rsid w:val="3F8073EA"/>
    <w:rsid w:val="3F817AE4"/>
    <w:rsid w:val="3F964E60"/>
    <w:rsid w:val="3F9F3D14"/>
    <w:rsid w:val="3FA53B56"/>
    <w:rsid w:val="3FB6105E"/>
    <w:rsid w:val="3FB98C45"/>
    <w:rsid w:val="3FC1012F"/>
    <w:rsid w:val="3FC13A60"/>
    <w:rsid w:val="3FD140EA"/>
    <w:rsid w:val="3FE91433"/>
    <w:rsid w:val="3FFA37F7"/>
    <w:rsid w:val="402077DF"/>
    <w:rsid w:val="402D7EA6"/>
    <w:rsid w:val="40316936"/>
    <w:rsid w:val="40664832"/>
    <w:rsid w:val="40874B73"/>
    <w:rsid w:val="408B48CA"/>
    <w:rsid w:val="40A435AC"/>
    <w:rsid w:val="40B46175"/>
    <w:rsid w:val="40C621CD"/>
    <w:rsid w:val="40FB5855"/>
    <w:rsid w:val="41160006"/>
    <w:rsid w:val="41452699"/>
    <w:rsid w:val="41452889"/>
    <w:rsid w:val="415648A7"/>
    <w:rsid w:val="417E32D7"/>
    <w:rsid w:val="41847C9A"/>
    <w:rsid w:val="418A4550"/>
    <w:rsid w:val="41B31543"/>
    <w:rsid w:val="41C20360"/>
    <w:rsid w:val="41CF6C0C"/>
    <w:rsid w:val="41DF2AEE"/>
    <w:rsid w:val="42010CB6"/>
    <w:rsid w:val="423746D8"/>
    <w:rsid w:val="42644DA1"/>
    <w:rsid w:val="42660B19"/>
    <w:rsid w:val="4290203A"/>
    <w:rsid w:val="429531AD"/>
    <w:rsid w:val="429612A3"/>
    <w:rsid w:val="42B31885"/>
    <w:rsid w:val="42EB54C2"/>
    <w:rsid w:val="42FE51F6"/>
    <w:rsid w:val="43525542"/>
    <w:rsid w:val="43930246"/>
    <w:rsid w:val="43CD4BC8"/>
    <w:rsid w:val="43CE2E1A"/>
    <w:rsid w:val="43D441A9"/>
    <w:rsid w:val="43D61CCF"/>
    <w:rsid w:val="43DD4E0B"/>
    <w:rsid w:val="440745F0"/>
    <w:rsid w:val="44112D07"/>
    <w:rsid w:val="44176015"/>
    <w:rsid w:val="441B1DD7"/>
    <w:rsid w:val="44354C47"/>
    <w:rsid w:val="44466E54"/>
    <w:rsid w:val="447047FC"/>
    <w:rsid w:val="45140D01"/>
    <w:rsid w:val="453E18DA"/>
    <w:rsid w:val="456D6663"/>
    <w:rsid w:val="457C4AF8"/>
    <w:rsid w:val="459C719B"/>
    <w:rsid w:val="45D91E45"/>
    <w:rsid w:val="45EC1D2D"/>
    <w:rsid w:val="460A3EB2"/>
    <w:rsid w:val="46394ABF"/>
    <w:rsid w:val="46540D77"/>
    <w:rsid w:val="467A3826"/>
    <w:rsid w:val="469D31D2"/>
    <w:rsid w:val="46C22744"/>
    <w:rsid w:val="46C4232A"/>
    <w:rsid w:val="46CF4CDA"/>
    <w:rsid w:val="476B0980"/>
    <w:rsid w:val="47736E9E"/>
    <w:rsid w:val="47B2115C"/>
    <w:rsid w:val="47D80EF1"/>
    <w:rsid w:val="47F33CAA"/>
    <w:rsid w:val="482C45B3"/>
    <w:rsid w:val="48345946"/>
    <w:rsid w:val="487321E2"/>
    <w:rsid w:val="487675DC"/>
    <w:rsid w:val="4877302A"/>
    <w:rsid w:val="48E1714C"/>
    <w:rsid w:val="48FA66C3"/>
    <w:rsid w:val="4935279E"/>
    <w:rsid w:val="493A6094"/>
    <w:rsid w:val="49543DC1"/>
    <w:rsid w:val="4956636B"/>
    <w:rsid w:val="498D2E30"/>
    <w:rsid w:val="49973CAE"/>
    <w:rsid w:val="499C12C5"/>
    <w:rsid w:val="49D11B6B"/>
    <w:rsid w:val="49D46CB0"/>
    <w:rsid w:val="49DE57B8"/>
    <w:rsid w:val="49E932E4"/>
    <w:rsid w:val="49F84F66"/>
    <w:rsid w:val="4A056E6A"/>
    <w:rsid w:val="4A301FBD"/>
    <w:rsid w:val="4A394D65"/>
    <w:rsid w:val="4A5E607A"/>
    <w:rsid w:val="4A680B71"/>
    <w:rsid w:val="4A8561FD"/>
    <w:rsid w:val="4ACF7478"/>
    <w:rsid w:val="4AEC627C"/>
    <w:rsid w:val="4B2A3403"/>
    <w:rsid w:val="4B73429D"/>
    <w:rsid w:val="4B972DDF"/>
    <w:rsid w:val="4BB328F5"/>
    <w:rsid w:val="4C15710C"/>
    <w:rsid w:val="4C167D5E"/>
    <w:rsid w:val="4C48536F"/>
    <w:rsid w:val="4C526087"/>
    <w:rsid w:val="4C651E42"/>
    <w:rsid w:val="4CC50B32"/>
    <w:rsid w:val="4CC967B6"/>
    <w:rsid w:val="4CE4515F"/>
    <w:rsid w:val="4CEB67CA"/>
    <w:rsid w:val="4D4001B9"/>
    <w:rsid w:val="4D551EB6"/>
    <w:rsid w:val="4D5F3063"/>
    <w:rsid w:val="4D826A23"/>
    <w:rsid w:val="4DA92202"/>
    <w:rsid w:val="4DB36BDD"/>
    <w:rsid w:val="4DE54E44"/>
    <w:rsid w:val="4E046F84"/>
    <w:rsid w:val="4E124DED"/>
    <w:rsid w:val="4E135596"/>
    <w:rsid w:val="4E506181"/>
    <w:rsid w:val="4E61488B"/>
    <w:rsid w:val="4E6C7DA4"/>
    <w:rsid w:val="4E9B6D7C"/>
    <w:rsid w:val="4EB90223"/>
    <w:rsid w:val="4ECC1AC7"/>
    <w:rsid w:val="4ED4505D"/>
    <w:rsid w:val="4ED55B25"/>
    <w:rsid w:val="4F0973FC"/>
    <w:rsid w:val="4F204746"/>
    <w:rsid w:val="4F5C5705"/>
    <w:rsid w:val="4F7C50EE"/>
    <w:rsid w:val="4F7D3946"/>
    <w:rsid w:val="4FA709C3"/>
    <w:rsid w:val="50025BF9"/>
    <w:rsid w:val="50096F88"/>
    <w:rsid w:val="50137E07"/>
    <w:rsid w:val="502D08DA"/>
    <w:rsid w:val="502E33B4"/>
    <w:rsid w:val="503132B0"/>
    <w:rsid w:val="504D1506"/>
    <w:rsid w:val="509C7DFC"/>
    <w:rsid w:val="50E33C7D"/>
    <w:rsid w:val="50ED0F35"/>
    <w:rsid w:val="51052F88"/>
    <w:rsid w:val="511C5981"/>
    <w:rsid w:val="511D0F3D"/>
    <w:rsid w:val="515D2774"/>
    <w:rsid w:val="51755B6E"/>
    <w:rsid w:val="51B318A1"/>
    <w:rsid w:val="51BA020E"/>
    <w:rsid w:val="51C57DE7"/>
    <w:rsid w:val="51D11D27"/>
    <w:rsid w:val="51D7507C"/>
    <w:rsid w:val="52166ACD"/>
    <w:rsid w:val="529B7D50"/>
    <w:rsid w:val="52A11249"/>
    <w:rsid w:val="52B31316"/>
    <w:rsid w:val="52D00337"/>
    <w:rsid w:val="52F2741A"/>
    <w:rsid w:val="53544364"/>
    <w:rsid w:val="53616A54"/>
    <w:rsid w:val="536746F1"/>
    <w:rsid w:val="536F35A6"/>
    <w:rsid w:val="53785E4E"/>
    <w:rsid w:val="537F6604"/>
    <w:rsid w:val="53EE5CD3"/>
    <w:rsid w:val="53F13DC1"/>
    <w:rsid w:val="53F397C6"/>
    <w:rsid w:val="53F43364"/>
    <w:rsid w:val="542252F2"/>
    <w:rsid w:val="543640C4"/>
    <w:rsid w:val="54436F0C"/>
    <w:rsid w:val="5445681C"/>
    <w:rsid w:val="546B023D"/>
    <w:rsid w:val="547F2325"/>
    <w:rsid w:val="54866DF9"/>
    <w:rsid w:val="54972DB4"/>
    <w:rsid w:val="54E65AEA"/>
    <w:rsid w:val="55032DA2"/>
    <w:rsid w:val="55326F81"/>
    <w:rsid w:val="554D6E83"/>
    <w:rsid w:val="555313D1"/>
    <w:rsid w:val="556112B5"/>
    <w:rsid w:val="55894DF3"/>
    <w:rsid w:val="55A20069"/>
    <w:rsid w:val="55AF2CD7"/>
    <w:rsid w:val="55B66727"/>
    <w:rsid w:val="55B8307E"/>
    <w:rsid w:val="55D40C3F"/>
    <w:rsid w:val="55E57014"/>
    <w:rsid w:val="56336B0D"/>
    <w:rsid w:val="56602B8B"/>
    <w:rsid w:val="56C62E14"/>
    <w:rsid w:val="572E4E6E"/>
    <w:rsid w:val="5733105F"/>
    <w:rsid w:val="57476D14"/>
    <w:rsid w:val="576D3DFA"/>
    <w:rsid w:val="57792C45"/>
    <w:rsid w:val="57A41612"/>
    <w:rsid w:val="57AA72A2"/>
    <w:rsid w:val="57C87729"/>
    <w:rsid w:val="57CA524F"/>
    <w:rsid w:val="57D22E6C"/>
    <w:rsid w:val="57FE314A"/>
    <w:rsid w:val="586D3291"/>
    <w:rsid w:val="58914914"/>
    <w:rsid w:val="58EA204C"/>
    <w:rsid w:val="58EF686D"/>
    <w:rsid w:val="59114173"/>
    <w:rsid w:val="591B7986"/>
    <w:rsid w:val="59345240"/>
    <w:rsid w:val="59440D91"/>
    <w:rsid w:val="594A08BD"/>
    <w:rsid w:val="594B23BF"/>
    <w:rsid w:val="597731B4"/>
    <w:rsid w:val="5980475F"/>
    <w:rsid w:val="598F38D1"/>
    <w:rsid w:val="599F37FD"/>
    <w:rsid w:val="59C363FA"/>
    <w:rsid w:val="59E34E42"/>
    <w:rsid w:val="59F1740B"/>
    <w:rsid w:val="5A001F07"/>
    <w:rsid w:val="5A0263B3"/>
    <w:rsid w:val="5A0E5831"/>
    <w:rsid w:val="5A1223DE"/>
    <w:rsid w:val="5A557999"/>
    <w:rsid w:val="5A7871E4"/>
    <w:rsid w:val="5AF170E3"/>
    <w:rsid w:val="5AF80325"/>
    <w:rsid w:val="5AF820D3"/>
    <w:rsid w:val="5B3D0BB3"/>
    <w:rsid w:val="5B5163B3"/>
    <w:rsid w:val="5B5E0D4A"/>
    <w:rsid w:val="5B6E64E7"/>
    <w:rsid w:val="5B765E19"/>
    <w:rsid w:val="5B9B1B49"/>
    <w:rsid w:val="5BB77623"/>
    <w:rsid w:val="5C043425"/>
    <w:rsid w:val="5C237623"/>
    <w:rsid w:val="5C2529CD"/>
    <w:rsid w:val="5C3F26AF"/>
    <w:rsid w:val="5C4A6095"/>
    <w:rsid w:val="5C750170"/>
    <w:rsid w:val="5C8804E2"/>
    <w:rsid w:val="5C936852"/>
    <w:rsid w:val="5CAC7619"/>
    <w:rsid w:val="5CCE18ED"/>
    <w:rsid w:val="5CEF7D74"/>
    <w:rsid w:val="5CF6B906"/>
    <w:rsid w:val="5D0B2591"/>
    <w:rsid w:val="5D215911"/>
    <w:rsid w:val="5D284EF1"/>
    <w:rsid w:val="5D2E6280"/>
    <w:rsid w:val="5D610403"/>
    <w:rsid w:val="5D867E6A"/>
    <w:rsid w:val="5D8FDE5B"/>
    <w:rsid w:val="5D9F6018"/>
    <w:rsid w:val="5DDF1AC2"/>
    <w:rsid w:val="5DE21ECC"/>
    <w:rsid w:val="5E0314BA"/>
    <w:rsid w:val="5E0771FD"/>
    <w:rsid w:val="5E2A2EEB"/>
    <w:rsid w:val="5E352130"/>
    <w:rsid w:val="5E5B12F6"/>
    <w:rsid w:val="5E663DA7"/>
    <w:rsid w:val="5E7D9105"/>
    <w:rsid w:val="5E8D8A7A"/>
    <w:rsid w:val="5E987E55"/>
    <w:rsid w:val="5EA20FDC"/>
    <w:rsid w:val="5EBF1885"/>
    <w:rsid w:val="5F05388D"/>
    <w:rsid w:val="5F4104EC"/>
    <w:rsid w:val="5F4B3A15"/>
    <w:rsid w:val="5F8959EF"/>
    <w:rsid w:val="5F922D83"/>
    <w:rsid w:val="5FCDD8EF"/>
    <w:rsid w:val="5FD274EE"/>
    <w:rsid w:val="5FD514C4"/>
    <w:rsid w:val="5FE377F5"/>
    <w:rsid w:val="5FFE018B"/>
    <w:rsid w:val="60114363"/>
    <w:rsid w:val="604629FD"/>
    <w:rsid w:val="604B14A7"/>
    <w:rsid w:val="606215C8"/>
    <w:rsid w:val="6071095D"/>
    <w:rsid w:val="608D2093"/>
    <w:rsid w:val="60A41537"/>
    <w:rsid w:val="60BB5EDC"/>
    <w:rsid w:val="60BB607C"/>
    <w:rsid w:val="60D40EEC"/>
    <w:rsid w:val="60D64C64"/>
    <w:rsid w:val="60FB1701"/>
    <w:rsid w:val="615B2E7E"/>
    <w:rsid w:val="618967E6"/>
    <w:rsid w:val="618D7CF0"/>
    <w:rsid w:val="61DF3FED"/>
    <w:rsid w:val="61F335F4"/>
    <w:rsid w:val="620028F7"/>
    <w:rsid w:val="620A72BB"/>
    <w:rsid w:val="6230300B"/>
    <w:rsid w:val="62404A8B"/>
    <w:rsid w:val="628B159A"/>
    <w:rsid w:val="62EC623C"/>
    <w:rsid w:val="63532DDC"/>
    <w:rsid w:val="63D47B81"/>
    <w:rsid w:val="63EF5962"/>
    <w:rsid w:val="64671ECB"/>
    <w:rsid w:val="64746F5B"/>
    <w:rsid w:val="64966BE4"/>
    <w:rsid w:val="649E3CEB"/>
    <w:rsid w:val="64AB3B84"/>
    <w:rsid w:val="64AC465A"/>
    <w:rsid w:val="64CD637E"/>
    <w:rsid w:val="64E8379C"/>
    <w:rsid w:val="65015CA7"/>
    <w:rsid w:val="65166659"/>
    <w:rsid w:val="652D3B82"/>
    <w:rsid w:val="653B3C30"/>
    <w:rsid w:val="65D04378"/>
    <w:rsid w:val="65F55B8D"/>
    <w:rsid w:val="66161C7A"/>
    <w:rsid w:val="6692787F"/>
    <w:rsid w:val="66A870A3"/>
    <w:rsid w:val="66E206F4"/>
    <w:rsid w:val="66E77BCB"/>
    <w:rsid w:val="66EA6F1C"/>
    <w:rsid w:val="6703252B"/>
    <w:rsid w:val="670A34B7"/>
    <w:rsid w:val="671C564A"/>
    <w:rsid w:val="673253E8"/>
    <w:rsid w:val="673426E5"/>
    <w:rsid w:val="676B07FC"/>
    <w:rsid w:val="678A1ED0"/>
    <w:rsid w:val="679B40F0"/>
    <w:rsid w:val="67A1421E"/>
    <w:rsid w:val="67C223E6"/>
    <w:rsid w:val="67E35558"/>
    <w:rsid w:val="67E660D5"/>
    <w:rsid w:val="67F975DF"/>
    <w:rsid w:val="68091DC3"/>
    <w:rsid w:val="681542C4"/>
    <w:rsid w:val="68352BB8"/>
    <w:rsid w:val="684A433E"/>
    <w:rsid w:val="68521272"/>
    <w:rsid w:val="68A904E9"/>
    <w:rsid w:val="68C67FF8"/>
    <w:rsid w:val="68C76C2F"/>
    <w:rsid w:val="68E1689C"/>
    <w:rsid w:val="68EC23C5"/>
    <w:rsid w:val="69213B9A"/>
    <w:rsid w:val="69236EB5"/>
    <w:rsid w:val="692C18D5"/>
    <w:rsid w:val="6936657F"/>
    <w:rsid w:val="69450BD9"/>
    <w:rsid w:val="698731B8"/>
    <w:rsid w:val="69A7736E"/>
    <w:rsid w:val="69BF098B"/>
    <w:rsid w:val="69EA352F"/>
    <w:rsid w:val="6A885221"/>
    <w:rsid w:val="6AF503DD"/>
    <w:rsid w:val="6B016D82"/>
    <w:rsid w:val="6B1C2AE1"/>
    <w:rsid w:val="6B3278F6"/>
    <w:rsid w:val="6B704A06"/>
    <w:rsid w:val="6B737C7F"/>
    <w:rsid w:val="6B8C6F93"/>
    <w:rsid w:val="6B9B0F84"/>
    <w:rsid w:val="6BB81B36"/>
    <w:rsid w:val="6BDD77EF"/>
    <w:rsid w:val="6BEC208A"/>
    <w:rsid w:val="6C0C1E82"/>
    <w:rsid w:val="6C127941"/>
    <w:rsid w:val="6C222DD3"/>
    <w:rsid w:val="6C2C0D0B"/>
    <w:rsid w:val="6C5A11F7"/>
    <w:rsid w:val="6C5D5FDF"/>
    <w:rsid w:val="6C691A23"/>
    <w:rsid w:val="6C6D5510"/>
    <w:rsid w:val="6C7C7008"/>
    <w:rsid w:val="6CE027E4"/>
    <w:rsid w:val="6CF60DBB"/>
    <w:rsid w:val="6D066B64"/>
    <w:rsid w:val="6DA24254"/>
    <w:rsid w:val="6DC72505"/>
    <w:rsid w:val="6E105C5A"/>
    <w:rsid w:val="6E292877"/>
    <w:rsid w:val="6E657628"/>
    <w:rsid w:val="6E697118"/>
    <w:rsid w:val="6E75505F"/>
    <w:rsid w:val="6E891568"/>
    <w:rsid w:val="6ECD3B4B"/>
    <w:rsid w:val="6F196D90"/>
    <w:rsid w:val="6F2E4AF3"/>
    <w:rsid w:val="6F307C36"/>
    <w:rsid w:val="6F5B1156"/>
    <w:rsid w:val="6F5E3278"/>
    <w:rsid w:val="6F6C3363"/>
    <w:rsid w:val="6F6D70DC"/>
    <w:rsid w:val="6FBFD0EF"/>
    <w:rsid w:val="6FE80E15"/>
    <w:rsid w:val="6FFD39A4"/>
    <w:rsid w:val="701B08E6"/>
    <w:rsid w:val="7040659E"/>
    <w:rsid w:val="704B1DC5"/>
    <w:rsid w:val="704E4817"/>
    <w:rsid w:val="70626D93"/>
    <w:rsid w:val="70633C94"/>
    <w:rsid w:val="7075449A"/>
    <w:rsid w:val="70875F7B"/>
    <w:rsid w:val="709F1517"/>
    <w:rsid w:val="70BB0D44"/>
    <w:rsid w:val="70BC3E77"/>
    <w:rsid w:val="70BF5715"/>
    <w:rsid w:val="70C74299"/>
    <w:rsid w:val="70D7582F"/>
    <w:rsid w:val="70E470C7"/>
    <w:rsid w:val="710521FB"/>
    <w:rsid w:val="711D17F8"/>
    <w:rsid w:val="713B6CCF"/>
    <w:rsid w:val="714F4CEB"/>
    <w:rsid w:val="71535E5D"/>
    <w:rsid w:val="715B3690"/>
    <w:rsid w:val="71611B81"/>
    <w:rsid w:val="716D5171"/>
    <w:rsid w:val="71782674"/>
    <w:rsid w:val="719941B8"/>
    <w:rsid w:val="71AC54CB"/>
    <w:rsid w:val="71B0505E"/>
    <w:rsid w:val="71C034F3"/>
    <w:rsid w:val="71C41A82"/>
    <w:rsid w:val="71F118FE"/>
    <w:rsid w:val="72415C55"/>
    <w:rsid w:val="72457E9C"/>
    <w:rsid w:val="72566580"/>
    <w:rsid w:val="728013DF"/>
    <w:rsid w:val="72A93F87"/>
    <w:rsid w:val="72C135F3"/>
    <w:rsid w:val="72C834C6"/>
    <w:rsid w:val="72C963D7"/>
    <w:rsid w:val="72D55F67"/>
    <w:rsid w:val="72D79944"/>
    <w:rsid w:val="72EC0317"/>
    <w:rsid w:val="72F3560B"/>
    <w:rsid w:val="73305A6F"/>
    <w:rsid w:val="73530396"/>
    <w:rsid w:val="73615165"/>
    <w:rsid w:val="736C286F"/>
    <w:rsid w:val="73774085"/>
    <w:rsid w:val="738B7B30"/>
    <w:rsid w:val="73A40787"/>
    <w:rsid w:val="73EE0349"/>
    <w:rsid w:val="743B50B2"/>
    <w:rsid w:val="74561A25"/>
    <w:rsid w:val="74780EED"/>
    <w:rsid w:val="7488440E"/>
    <w:rsid w:val="74903E77"/>
    <w:rsid w:val="749F7CC1"/>
    <w:rsid w:val="74AC07F8"/>
    <w:rsid w:val="74C036AA"/>
    <w:rsid w:val="74D210D5"/>
    <w:rsid w:val="74DC4AE7"/>
    <w:rsid w:val="74E7348C"/>
    <w:rsid w:val="74F709DC"/>
    <w:rsid w:val="751D21C1"/>
    <w:rsid w:val="756B6197"/>
    <w:rsid w:val="759D03CE"/>
    <w:rsid w:val="75A35605"/>
    <w:rsid w:val="75B07D22"/>
    <w:rsid w:val="75D27C98"/>
    <w:rsid w:val="75EA3234"/>
    <w:rsid w:val="76157B85"/>
    <w:rsid w:val="76404C02"/>
    <w:rsid w:val="76432A3B"/>
    <w:rsid w:val="76932912"/>
    <w:rsid w:val="76A96C4B"/>
    <w:rsid w:val="76B1274F"/>
    <w:rsid w:val="76B455F0"/>
    <w:rsid w:val="76B87AC9"/>
    <w:rsid w:val="76BF7A57"/>
    <w:rsid w:val="76CA4E14"/>
    <w:rsid w:val="76DE3136"/>
    <w:rsid w:val="770629FE"/>
    <w:rsid w:val="773504DF"/>
    <w:rsid w:val="77466345"/>
    <w:rsid w:val="7755292F"/>
    <w:rsid w:val="77562203"/>
    <w:rsid w:val="7769429B"/>
    <w:rsid w:val="77A13DC6"/>
    <w:rsid w:val="77B8A730"/>
    <w:rsid w:val="77BF424C"/>
    <w:rsid w:val="77C0756F"/>
    <w:rsid w:val="77CA50CB"/>
    <w:rsid w:val="77D47CA3"/>
    <w:rsid w:val="77EDD030"/>
    <w:rsid w:val="77F71C38"/>
    <w:rsid w:val="77FF1E8E"/>
    <w:rsid w:val="783E4FF7"/>
    <w:rsid w:val="7845379A"/>
    <w:rsid w:val="788F00C3"/>
    <w:rsid w:val="78947487"/>
    <w:rsid w:val="789A787B"/>
    <w:rsid w:val="78C65DE4"/>
    <w:rsid w:val="78C666ED"/>
    <w:rsid w:val="78CC4E73"/>
    <w:rsid w:val="78D855C6"/>
    <w:rsid w:val="78ED18FA"/>
    <w:rsid w:val="78F74CE4"/>
    <w:rsid w:val="790440B0"/>
    <w:rsid w:val="7908577F"/>
    <w:rsid w:val="791E2966"/>
    <w:rsid w:val="79297B73"/>
    <w:rsid w:val="79537342"/>
    <w:rsid w:val="795A46A4"/>
    <w:rsid w:val="795F1843"/>
    <w:rsid w:val="79674B9C"/>
    <w:rsid w:val="798E2128"/>
    <w:rsid w:val="799040F2"/>
    <w:rsid w:val="799527C0"/>
    <w:rsid w:val="79D54DBB"/>
    <w:rsid w:val="79F301DD"/>
    <w:rsid w:val="79F4775E"/>
    <w:rsid w:val="7A2D4BEF"/>
    <w:rsid w:val="7A405098"/>
    <w:rsid w:val="7A410F49"/>
    <w:rsid w:val="7A5717AC"/>
    <w:rsid w:val="7A5E1AFB"/>
    <w:rsid w:val="7A603957"/>
    <w:rsid w:val="7A7E219D"/>
    <w:rsid w:val="7A8012E2"/>
    <w:rsid w:val="7A8C48BA"/>
    <w:rsid w:val="7A903A15"/>
    <w:rsid w:val="7A9419C0"/>
    <w:rsid w:val="7AAA66A9"/>
    <w:rsid w:val="7AB22105"/>
    <w:rsid w:val="7ABF4168"/>
    <w:rsid w:val="7AE17BE3"/>
    <w:rsid w:val="7AE929BF"/>
    <w:rsid w:val="7AF9562F"/>
    <w:rsid w:val="7AFF50FD"/>
    <w:rsid w:val="7B0417E7"/>
    <w:rsid w:val="7B1C4CA6"/>
    <w:rsid w:val="7B38234C"/>
    <w:rsid w:val="7B4C0586"/>
    <w:rsid w:val="7B510F63"/>
    <w:rsid w:val="7B936C7C"/>
    <w:rsid w:val="7B95154C"/>
    <w:rsid w:val="7B971768"/>
    <w:rsid w:val="7BBF8798"/>
    <w:rsid w:val="7BD61B65"/>
    <w:rsid w:val="7C362E56"/>
    <w:rsid w:val="7C6158D2"/>
    <w:rsid w:val="7C6245DB"/>
    <w:rsid w:val="7C8F0691"/>
    <w:rsid w:val="7CA71E6D"/>
    <w:rsid w:val="7CF20C20"/>
    <w:rsid w:val="7CF36E72"/>
    <w:rsid w:val="7D083FA0"/>
    <w:rsid w:val="7D1107B6"/>
    <w:rsid w:val="7D18788E"/>
    <w:rsid w:val="7D49127D"/>
    <w:rsid w:val="7D585220"/>
    <w:rsid w:val="7D5B0573"/>
    <w:rsid w:val="7D67516A"/>
    <w:rsid w:val="7D9F4904"/>
    <w:rsid w:val="7DE012F2"/>
    <w:rsid w:val="7DE59CFE"/>
    <w:rsid w:val="7DEC38C1"/>
    <w:rsid w:val="7DEE7639"/>
    <w:rsid w:val="7EBE5753"/>
    <w:rsid w:val="7EC872DD"/>
    <w:rsid w:val="7EE91286"/>
    <w:rsid w:val="7EF46ED2"/>
    <w:rsid w:val="7EF75429"/>
    <w:rsid w:val="7F0F5AB9"/>
    <w:rsid w:val="7F141322"/>
    <w:rsid w:val="7F1F020D"/>
    <w:rsid w:val="7F2D4191"/>
    <w:rsid w:val="7F3A5CE9"/>
    <w:rsid w:val="7F8A15E4"/>
    <w:rsid w:val="7F991B2F"/>
    <w:rsid w:val="7F9DB1FC"/>
    <w:rsid w:val="7F9F0DF3"/>
    <w:rsid w:val="7F9FF916"/>
    <w:rsid w:val="7FBA3C77"/>
    <w:rsid w:val="7FD64829"/>
    <w:rsid w:val="7FDC50A8"/>
    <w:rsid w:val="7FE7ABBA"/>
    <w:rsid w:val="7FE84BE1"/>
    <w:rsid w:val="7FEEF9FC"/>
    <w:rsid w:val="7FF938DA"/>
    <w:rsid w:val="7FFFB5E2"/>
    <w:rsid w:val="8D9FA86D"/>
    <w:rsid w:val="8DD4CDCA"/>
    <w:rsid w:val="8E3B8740"/>
    <w:rsid w:val="9EEF7A1F"/>
    <w:rsid w:val="9F3F0BD8"/>
    <w:rsid w:val="9FF7A450"/>
    <w:rsid w:val="A3F96F18"/>
    <w:rsid w:val="A5EF4E8F"/>
    <w:rsid w:val="AF7F3C6F"/>
    <w:rsid w:val="B4F240BE"/>
    <w:rsid w:val="B6DF825D"/>
    <w:rsid w:val="B6F2827C"/>
    <w:rsid w:val="B76F4B1E"/>
    <w:rsid w:val="BA7BDDF3"/>
    <w:rsid w:val="BAFD7742"/>
    <w:rsid w:val="BCFF7205"/>
    <w:rsid w:val="BE73D28B"/>
    <w:rsid w:val="BF5D3072"/>
    <w:rsid w:val="BFFCC9F4"/>
    <w:rsid w:val="C33F4111"/>
    <w:rsid w:val="DE91D79E"/>
    <w:rsid w:val="DF2FEF69"/>
    <w:rsid w:val="DFA9C315"/>
    <w:rsid w:val="E2FCC3E4"/>
    <w:rsid w:val="E5EA2CA3"/>
    <w:rsid w:val="E5FF5BA4"/>
    <w:rsid w:val="ED77FBB4"/>
    <w:rsid w:val="EDFF2123"/>
    <w:rsid w:val="EE9BC56E"/>
    <w:rsid w:val="EF3BC92A"/>
    <w:rsid w:val="EFF8FF4C"/>
    <w:rsid w:val="F5F7914A"/>
    <w:rsid w:val="F5F9EAF6"/>
    <w:rsid w:val="F6FF21AC"/>
    <w:rsid w:val="F73F8DB5"/>
    <w:rsid w:val="F7AFBD60"/>
    <w:rsid w:val="F9BF2AD4"/>
    <w:rsid w:val="FB3FB356"/>
    <w:rsid w:val="FBE288A3"/>
    <w:rsid w:val="FBFD8F44"/>
    <w:rsid w:val="FBFEAA51"/>
    <w:rsid w:val="FCEE98E5"/>
    <w:rsid w:val="FD7F2F81"/>
    <w:rsid w:val="FDCFC4C3"/>
    <w:rsid w:val="FEDFCB47"/>
    <w:rsid w:val="FF27BD21"/>
    <w:rsid w:val="FFBCDF5D"/>
    <w:rsid w:val="FFBDA6B4"/>
    <w:rsid w:val="FFC3DF37"/>
    <w:rsid w:val="FFEFCABF"/>
    <w:rsid w:val="FFF7738B"/>
    <w:rsid w:val="FFFAED4A"/>
    <w:rsid w:val="FFFFA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6">
    <w:name w:val="heading 2"/>
    <w:basedOn w:val="1"/>
    <w:next w:val="1"/>
    <w:link w:val="33"/>
    <w:unhideWhenUsed/>
    <w:qFormat/>
    <w:uiPriority w:val="0"/>
    <w:pPr>
      <w:keepLines/>
      <w:widowControl/>
      <w:tabs>
        <w:tab w:val="left" w:pos="720"/>
        <w:tab w:val="left" w:pos="2322"/>
      </w:tabs>
      <w:spacing w:line="560" w:lineRule="exact"/>
      <w:ind w:firstLine="800" w:firstLineChars="200"/>
      <w:outlineLvl w:val="1"/>
    </w:pPr>
    <w:rPr>
      <w:rFonts w:ascii="Times New Roman Bold" w:hAnsi="Times New Roman Bold" w:eastAsia="楷体" w:cs="楷体"/>
      <w:b/>
      <w:bCs/>
      <w:color w:val="000000"/>
      <w:sz w:val="32"/>
    </w:rPr>
  </w:style>
  <w:style w:type="paragraph" w:styleId="7">
    <w:name w:val="heading 6"/>
    <w:basedOn w:val="1"/>
    <w:next w:val="1"/>
    <w:autoRedefine/>
    <w:qFormat/>
    <w:uiPriority w:val="0"/>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4"/>
    <w:link w:val="22"/>
    <w:autoRedefine/>
    <w:qFormat/>
    <w:uiPriority w:val="0"/>
    <w:rPr>
      <w:rFonts w:ascii="Times New Roman" w:hAnsi="Times New Roman"/>
    </w:rPr>
  </w:style>
  <w:style w:type="paragraph" w:styleId="4">
    <w:name w:val="Title"/>
    <w:basedOn w:val="1"/>
    <w:next w:val="1"/>
    <w:qFormat/>
    <w:uiPriority w:val="0"/>
    <w:pPr>
      <w:spacing w:before="240" w:after="60"/>
      <w:jc w:val="center"/>
      <w:textAlignment w:val="baseline"/>
    </w:pPr>
    <w:rPr>
      <w:rFonts w:ascii="Cambria" w:hAnsi="Cambria"/>
      <w:b/>
      <w:bCs/>
      <w:sz w:val="32"/>
      <w:szCs w:val="32"/>
    </w:rPr>
  </w:style>
  <w:style w:type="paragraph" w:styleId="8">
    <w:name w:val="Normal Indent"/>
    <w:basedOn w:val="1"/>
    <w:next w:val="1"/>
    <w:qFormat/>
    <w:uiPriority w:val="0"/>
    <w:pPr>
      <w:ind w:firstLine="420" w:firstLineChars="200"/>
    </w:pPr>
  </w:style>
  <w:style w:type="paragraph" w:styleId="9">
    <w:name w:val="caption"/>
    <w:basedOn w:val="1"/>
    <w:next w:val="1"/>
    <w:semiHidden/>
    <w:unhideWhenUsed/>
    <w:qFormat/>
    <w:uiPriority w:val="0"/>
    <w:pPr>
      <w:spacing w:line="240" w:lineRule="auto"/>
      <w:ind w:firstLine="0" w:firstLineChars="0"/>
      <w:jc w:val="center"/>
    </w:pPr>
    <w:rPr>
      <w:rFonts w:ascii="Times New Roman" w:hAnsi="Times New Roman" w:eastAsia="宋体" w:cs="Arial"/>
      <w:b/>
      <w:snapToGrid w:val="0"/>
      <w:color w:val="000000"/>
      <w:kern w:val="0"/>
      <w:sz w:val="20"/>
      <w:szCs w:val="24"/>
      <w:lang w:eastAsia="en-US"/>
    </w:rPr>
  </w:style>
  <w:style w:type="paragraph" w:styleId="10">
    <w:name w:val="annotation text"/>
    <w:basedOn w:val="1"/>
    <w:link w:val="26"/>
    <w:autoRedefine/>
    <w:qFormat/>
    <w:uiPriority w:val="0"/>
    <w:pPr>
      <w:jc w:val="left"/>
    </w:pPr>
  </w:style>
  <w:style w:type="paragraph" w:styleId="11">
    <w:name w:val="footer"/>
    <w:basedOn w:val="1"/>
    <w:link w:val="25"/>
    <w:autoRedefine/>
    <w:qFormat/>
    <w:uiPriority w:val="0"/>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200" w:leftChars="200"/>
    </w:pPr>
  </w:style>
  <w:style w:type="paragraph" w:styleId="14">
    <w:name w:val="Normal (Web)"/>
    <w:basedOn w:val="1"/>
    <w:autoRedefine/>
    <w:qFormat/>
    <w:uiPriority w:val="0"/>
    <w:pPr>
      <w:spacing w:before="100" w:beforeAutospacing="1" w:after="100" w:afterAutospacing="1"/>
      <w:jc w:val="left"/>
    </w:pPr>
    <w:rPr>
      <w:kern w:val="0"/>
      <w:sz w:val="24"/>
    </w:rPr>
  </w:style>
  <w:style w:type="paragraph" w:styleId="15">
    <w:name w:val="annotation subject"/>
    <w:basedOn w:val="10"/>
    <w:next w:val="10"/>
    <w:link w:val="24"/>
    <w:autoRedefine/>
    <w:qFormat/>
    <w:uiPriority w:val="0"/>
    <w:rPr>
      <w:b/>
      <w:bCs/>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0"/>
    <w:rPr>
      <w:b/>
    </w:rPr>
  </w:style>
  <w:style w:type="character" w:styleId="20">
    <w:name w:val="Emphasis"/>
    <w:qFormat/>
    <w:uiPriority w:val="0"/>
    <w:rPr>
      <w:i/>
    </w:rPr>
  </w:style>
  <w:style w:type="character" w:styleId="21">
    <w:name w:val="annotation reference"/>
    <w:qFormat/>
    <w:uiPriority w:val="0"/>
    <w:rPr>
      <w:sz w:val="21"/>
      <w:szCs w:val="21"/>
    </w:rPr>
  </w:style>
  <w:style w:type="character" w:customStyle="1" w:styleId="22">
    <w:name w:val="正文文本 字符"/>
    <w:link w:val="3"/>
    <w:qFormat/>
    <w:uiPriority w:val="0"/>
    <w:rPr>
      <w:kern w:val="2"/>
      <w:sz w:val="21"/>
      <w:szCs w:val="24"/>
    </w:rPr>
  </w:style>
  <w:style w:type="paragraph" w:customStyle="1" w:styleId="23">
    <w:name w:val="table of authorities1"/>
    <w:basedOn w:val="1"/>
    <w:next w:val="1"/>
    <w:qFormat/>
    <w:uiPriority w:val="0"/>
    <w:pPr>
      <w:ind w:left="420" w:leftChars="200"/>
    </w:pPr>
  </w:style>
  <w:style w:type="character" w:customStyle="1" w:styleId="24">
    <w:name w:val="批注主题 字符"/>
    <w:link w:val="15"/>
    <w:qFormat/>
    <w:uiPriority w:val="0"/>
    <w:rPr>
      <w:rFonts w:ascii="Calibri" w:hAnsi="Calibri"/>
      <w:b/>
      <w:bCs/>
      <w:kern w:val="2"/>
      <w:sz w:val="21"/>
      <w:szCs w:val="24"/>
    </w:rPr>
  </w:style>
  <w:style w:type="character" w:customStyle="1" w:styleId="25">
    <w:name w:val="页脚 字符"/>
    <w:link w:val="11"/>
    <w:qFormat/>
    <w:uiPriority w:val="0"/>
    <w:rPr>
      <w:rFonts w:ascii="Calibri" w:hAnsi="Calibri"/>
      <w:kern w:val="2"/>
      <w:sz w:val="18"/>
      <w:szCs w:val="18"/>
    </w:rPr>
  </w:style>
  <w:style w:type="character" w:customStyle="1" w:styleId="26">
    <w:name w:val="批注文字 字符"/>
    <w:link w:val="10"/>
    <w:qFormat/>
    <w:uiPriority w:val="0"/>
    <w:rPr>
      <w:rFonts w:ascii="Calibri" w:hAnsi="Calibri"/>
      <w:kern w:val="2"/>
      <w:sz w:val="21"/>
      <w:szCs w:val="24"/>
    </w:rPr>
  </w:style>
  <w:style w:type="character" w:customStyle="1" w:styleId="27">
    <w:name w:val="页眉 字符"/>
    <w:link w:val="12"/>
    <w:qFormat/>
    <w:uiPriority w:val="0"/>
    <w:rPr>
      <w:rFonts w:ascii="Calibri" w:hAnsi="Calibri"/>
      <w:kern w:val="2"/>
      <w:sz w:val="18"/>
      <w:szCs w:val="18"/>
    </w:rPr>
  </w:style>
  <w:style w:type="paragraph" w:customStyle="1" w:styleId="28">
    <w:name w:val="_Style 18"/>
    <w:unhideWhenUsed/>
    <w:qFormat/>
    <w:uiPriority w:val="99"/>
    <w:rPr>
      <w:rFonts w:ascii="Calibri" w:hAnsi="Calibri" w:eastAsia="宋体" w:cs="Times New Roman"/>
      <w:kern w:val="2"/>
      <w:sz w:val="21"/>
      <w:szCs w:val="24"/>
      <w:lang w:val="en-US" w:eastAsia="zh-CN" w:bidi="ar-SA"/>
    </w:rPr>
  </w:style>
  <w:style w:type="paragraph" w:customStyle="1" w:styleId="29">
    <w:name w:val="修订1"/>
    <w:hidden/>
    <w:semiHidden/>
    <w:qFormat/>
    <w:uiPriority w:val="99"/>
    <w:rPr>
      <w:rFonts w:ascii="Calibri" w:hAnsi="Calibri" w:eastAsia="宋体" w:cs="Times New Roman"/>
      <w:kern w:val="2"/>
      <w:sz w:val="21"/>
      <w:szCs w:val="24"/>
      <w:lang w:val="en-US" w:eastAsia="zh-CN" w:bidi="ar-SA"/>
    </w:rPr>
  </w:style>
  <w:style w:type="paragraph" w:styleId="30">
    <w:name w:val="List Paragraph"/>
    <w:basedOn w:val="1"/>
    <w:qFormat/>
    <w:uiPriority w:val="34"/>
    <w:pPr>
      <w:ind w:firstLine="420" w:firstLineChars="200"/>
    </w:pPr>
  </w:style>
  <w:style w:type="paragraph" w:customStyle="1" w:styleId="31">
    <w:name w:val="修订2"/>
    <w:hidden/>
    <w:unhideWhenUsed/>
    <w:qFormat/>
    <w:uiPriority w:val="99"/>
    <w:rPr>
      <w:rFonts w:ascii="Calibri" w:hAnsi="Calibri" w:eastAsia="宋体" w:cs="Times New Roman"/>
      <w:kern w:val="2"/>
      <w:sz w:val="21"/>
      <w:szCs w:val="24"/>
      <w:lang w:val="en-US" w:eastAsia="zh-CN" w:bidi="ar-SA"/>
    </w:rPr>
  </w:style>
  <w:style w:type="paragraph" w:customStyle="1" w:styleId="32">
    <w:name w:val="Revision"/>
    <w:hidden/>
    <w:unhideWhenUsed/>
    <w:qFormat/>
    <w:uiPriority w:val="99"/>
    <w:rPr>
      <w:rFonts w:ascii="Calibri" w:hAnsi="Calibri" w:eastAsia="宋体" w:cs="Times New Roman"/>
      <w:kern w:val="2"/>
      <w:sz w:val="21"/>
      <w:szCs w:val="24"/>
      <w:lang w:val="en-US" w:eastAsia="zh-CN" w:bidi="ar-SA"/>
    </w:rPr>
  </w:style>
  <w:style w:type="character" w:customStyle="1" w:styleId="33">
    <w:name w:val="标题 2 Char1"/>
    <w:link w:val="6"/>
    <w:qFormat/>
    <w:uiPriority w:val="0"/>
    <w:rPr>
      <w:rFonts w:ascii="Times New Roman Bold" w:hAnsi="Times New Roman Bold" w:eastAsia="楷体" w:cs="楷体"/>
      <w:b/>
      <w:bCs/>
      <w:color w:val="000000"/>
      <w:sz w:val="32"/>
    </w:rPr>
  </w:style>
  <w:style w:type="paragraph" w:customStyle="1" w:styleId="34">
    <w:name w:val="表格8"/>
    <w:basedOn w:val="1"/>
    <w:qFormat/>
    <w:uiPriority w:val="0"/>
    <w:pPr>
      <w:widowControl/>
      <w:jc w:val="center"/>
      <w:textAlignment w:val="center"/>
    </w:pPr>
    <w:rPr>
      <w:rFonts w:hint="eastAsia" w:ascii="Times New Roman" w:hAnsi="Times New Roman" w:eastAsia="宋体" w:cs="宋体"/>
      <w:color w:val="000000"/>
      <w:kern w:val="0"/>
      <w:sz w:val="20"/>
      <w:szCs w:val="20"/>
      <w:u w:val="none"/>
      <w:lang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1b3b1169-d28d-4ee4-8494-92a1d6d1168c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7F70C3A0</paraID>
      <start>26</start>
      <end>29</end>
      <status>unmodified</status>
      <modifiedWord/>
      <trackRevisions>false</trackRevisions>
    </reviewItem>
    <reviewItem>
      <errorID>115b2fb9-00ef-42b8-9bea-7a2dfc571d3f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711A7F0A</paraID>
      <start>13</start>
      <end>14</end>
      <status>unmodified</status>
      <modifiedWord/>
      <trackRevisions>false</trackRevisions>
    </reviewItem>
    <reviewItem>
      <errorID>d7a9b56f-29fe-496a-ac87-0c8c2024154f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711A7F0A</paraID>
      <start>197</start>
      <end>198</end>
      <status>unmodified</status>
      <modifiedWord/>
      <trackRevisions>false</trackRevisions>
    </reviewItem>
    <reviewItem>
      <errorID>e9fe0a34-07e9-4afa-a27a-0690a51bf569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711A7F0A</paraID>
      <start>232</start>
      <end>233</end>
      <status>unmodified</status>
      <modifiedWord/>
      <trackRevisions>false</trackRevisions>
    </reviewItem>
    <reviewItem>
      <errorID>17425a05-7bf7-4375-bde1-9f88b759ed5b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B3CD596</paraID>
      <start>21</start>
      <end>24</end>
      <status>unmodified</status>
      <modifiedWord/>
      <trackRevisions>false</trackRevisions>
    </reviewItem>
    <reviewItem>
      <errorID>100f5645-ed98-40d9-95bf-c9607e45482a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B3CD596</paraID>
      <start>41</start>
      <end>44</end>
      <status>unmodified</status>
      <modifiedWord/>
      <trackRevisions>false</trackRevisions>
    </reviewItem>
    <reviewItem>
      <errorID>2f51e003-390d-4789-904d-7ce001099cbc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62F22783</paraID>
      <start>16</start>
      <end>17</end>
      <status>unmodified</status>
      <modifiedWord/>
      <trackRevisions>false</trackRevisions>
    </reviewItem>
    <reviewItem>
      <errorID>b4e0d3df-f6f7-47d4-974c-3633fc7ce6af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41763187</paraID>
      <start>23</start>
      <end>24</end>
      <status>unmodified</status>
      <modifiedWord/>
      <trackRevisions>false</trackRevisions>
    </reviewItem>
    <reviewItem>
      <errorID>8b52f655-cb03-4a40-961e-6c7116dcdb16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59361CD4</paraID>
      <start>16</start>
      <end>17</end>
      <status>unmodified</status>
      <modifiedWord/>
      <trackRevisions>false</trackRevisions>
    </reviewItem>
    <reviewItem>
      <errorID>d9365f00-c9d3-4ecb-b4bf-7aea09b600b7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CDAB91A</paraID>
      <start>23</start>
      <end>24</end>
      <status>unmodified</status>
      <modifiedWord/>
      <trackRevisions>false</trackRevisions>
    </reviewItem>
    <reviewItem>
      <errorID>f7318e37-b640-46ed-8dba-1d1115d6994e</errorID>
      <errorWord>（</errorWord>
      <group>L1_Punc</group>
      <groupName>标点问题</groupName>
      <ability>L2_Punc</ability>
      <abilityName>标点符号检查</abilityName>
      <candidateList/>
      <explain>同一形式括号套用。</explain>
      <paraID>2609E72B</paraID>
      <start>80</start>
      <end>81</end>
      <status>unmodified</status>
      <modifiedWord/>
      <trackRevisions>false</trackRevisions>
    </reviewItem>
    <reviewItem>
      <errorID>7a28ba8f-4346-4af9-9873-f09507f4b78d</errorID>
      <errorWord>）</errorWord>
      <group>L1_Punc</group>
      <groupName>标点问题</groupName>
      <ability>L2_Punc</ability>
      <abilityName>标点符号检查</abilityName>
      <candidateList/>
      <explain>同一形式括号套用。</explain>
      <paraID>2609E72B</paraID>
      <start>85</start>
      <end>86</end>
      <status>unmodified</status>
      <modifiedWord/>
      <trackRevisions>false</trackRevisions>
    </reviewItem>
    <reviewItem>
      <errorID>fe91e3a5-588d-4f3d-b534-5bb2f5798152</errorID>
      <errorWord>（</errorWord>
      <group>L1_Punc</group>
      <groupName>标点问题</groupName>
      <ability>L2_Punc</ability>
      <abilityName>标点符号检查</abilityName>
      <candidateList/>
      <explain>同一形式括号套用。</explain>
      <paraID>2609E72B</paraID>
      <start>93</start>
      <end>94</end>
      <status>unmodified</status>
      <modifiedWord/>
      <trackRevisions>false</trackRevisions>
    </reviewItem>
    <reviewItem>
      <errorID>51fbaad8-b26c-4d72-8c5a-69f05629ca46</errorID>
      <errorWord>）</errorWord>
      <group>L1_Punc</group>
      <groupName>标点问题</groupName>
      <ability>L2_Punc</ability>
      <abilityName>标点符号检查</abilityName>
      <candidateList/>
      <explain>同一形式括号套用。</explain>
      <paraID>2609E72B</paraID>
      <start>97</start>
      <end>98</end>
      <status>unmodified</status>
      <modifiedWord/>
      <trackRevisions>false</trackRevisions>
    </reviewItem>
    <reviewItem>
      <errorID>b442bee0-a689-4630-bc12-cbb86d8c7069</errorID>
      <errorWord>其它工艺</errorWord>
      <group>L1_Word</group>
      <groupName>字词问题</groupName>
      <ability>L2_Alias</ability>
      <abilityName>也作/曾用词</abilityName>
      <candidateList>
        <item>其他工艺</item>
      </candidateList>
      <explain>词汇[其它工艺]为不规范表述或旧称，其规范书面表述为[其他工艺]。</explain>
      <paraID>61731AFF</paraID>
      <start>156</start>
      <end>160</end>
      <status>unmodified</status>
      <modifiedWord/>
      <trackRevisions>false</trackRevisions>
    </reviewItem>
    <reviewItem>
      <errorID>448fc382-4ff6-4956-aa85-abbb6bfed852</errorID>
      <errorWord>(</errorWord>
      <group>L1_Format</group>
      <groupName>格式问题</groupName>
      <ability>L2_HalfPunc</ability>
      <abilityName>全半角检查</abilityName>
      <candidateList>
        <item>（</item>
      </candidateList>
      <explain>文本全半角错误。</explain>
      <paraID>69306391</paraID>
      <start>20</start>
      <end>21</end>
      <status>unmodified</status>
      <modifiedWord/>
      <trackRevisions>false</trackRevisions>
    </reviewItem>
    <reviewItem>
      <errorID>01e00f9f-a714-4f4d-965a-9c1d2531c71b</errorID>
      <errorWord>)</errorWord>
      <group>L1_Format</group>
      <groupName>格式问题</groupName>
      <ability>L2_HalfPunc</ability>
      <abilityName>全半角检查</abilityName>
      <candidateList>
        <item>）</item>
      </candidateList>
      <explain>文本全半角错误。</explain>
      <paraID>69306391</paraID>
      <start>30</start>
      <end>31</end>
      <status>unmodified</status>
      <modifiedWord/>
      <trackRevisions>false</trackRevisions>
    </reviewItem>
    <reviewItem>
      <errorID>c376e2c2-861c-4bb8-80a0-b5211cfd3a33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320C67E6</paraID>
      <start>12</start>
      <end>13</end>
      <status>unmodified</status>
      <modifiedWord/>
      <trackRevisions>false</trackRevisions>
    </reviewItem>
    <reviewItem>
      <errorID>a5935dbe-4d1c-4b13-a80e-6787873de4e0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70111780</paraID>
      <start>92</start>
      <end>93</end>
      <status>unmodified</status>
      <modifiedWord/>
      <trackRevisions>false</trackRevisions>
    </reviewItem>
    <reviewItem>
      <errorID>7cbdeee9-8e47-4df9-8ec7-20807e21771e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70111780</paraID>
      <start>143</start>
      <end>144</end>
      <status>unmodified</status>
      <modifiedWord/>
      <trackRevisions>false</trackRevisions>
    </reviewItem>
    <reviewItem>
      <errorID>679f1b14-383c-4f3e-a050-a516c86a29b2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36443648</paraID>
      <start>12</start>
      <end>13</end>
      <status>unmodified</status>
      <modifiedWord/>
      <trackRevisions>false</trackRevisions>
    </reviewItem>
    <reviewItem>
      <errorID>53772873-9378-423c-8aae-a3e900294b7f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CC6AA12</paraID>
      <start>69</start>
      <end>70</end>
      <status>unmodified</status>
      <modifiedWord/>
      <trackRevisions>false</trackRevisions>
    </reviewItem>
    <reviewItem>
      <errorID>ab4e40e1-7f90-4da8-a5ac-fe277ac6db4d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CC6AA12</paraID>
      <start>102</start>
      <end>103</end>
      <status>unmodified</status>
      <modifiedWord/>
      <trackRevisions>false</trackRevisions>
    </reviewItem>
    <reviewItem>
      <errorID>97cef616-3f33-4095-b9a4-8a0d1e3d4f81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79B278E9</paraID>
      <start>173</start>
      <end>174</end>
      <status>unmodified</status>
      <modifiedWord/>
      <trackRevisions>false</trackRevisions>
    </reviewItem>
    <reviewItem>
      <errorID>7ca3e222-ffe1-49b8-8aaf-c2f37b7815ff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16340A40</paraID>
      <start>181</start>
      <end>182</end>
      <status>unmodified</status>
      <modifiedWord/>
      <trackRevisions>false</trackRevisions>
    </reviewItem>
    <reviewItem>
      <errorID>1341f85b-ccd3-4d93-9149-e7a1e3fe1a7c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3AAEF422</paraID>
      <start>12</start>
      <end>13</end>
      <status>unmodified</status>
      <modifiedWord/>
      <trackRevisions>false</trackRevisions>
    </reviewItem>
    <reviewItem>
      <errorID>808f63e7-9531-4ffa-b619-768c76f030ec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3F6F121B</paraID>
      <start>48</start>
      <end>49</end>
      <status>unmodified</status>
      <modifiedWord/>
      <trackRevisions>false</trackRevisions>
    </reviewItem>
    <reviewItem>
      <errorID>8e49b46b-533b-4602-95d9-823242436d26</errorID>
      <errorWord>,</errorWord>
      <group>L1_Format</group>
      <groupName>格式问题</groupName>
      <ability>L2_HalfPunc</ability>
      <abilityName>全半角检查</abilityName>
      <candidateList>
        <item>，</item>
      </candidateList>
      <explain>文本全半角错误。</explain>
      <paraID>5E5C8603</paraID>
      <start>54</start>
      <end>55</end>
      <status>unmodified</status>
      <modifiedWord/>
      <trackRevisions>false</trackRevisions>
    </reviewItem>
    <reviewItem>
      <errorID>c2335d66-e28a-4a5d-8efe-9441795e6b7e</errorID>
      <errorWord>(</errorWord>
      <group>L1_Format</group>
      <groupName>格式问题</groupName>
      <ability>L2_HalfPunc</ability>
      <abilityName>全半角检查</abilityName>
      <candidateList>
        <item>（</item>
      </candidateList>
      <explain>文本全半角错误。</explain>
      <paraID>69335547</paraID>
      <start>103</start>
      <end>104</end>
      <status>unmodified</status>
      <modifiedWord/>
      <trackRevisions>false</trackRevisions>
    </reviewItem>
    <reviewItem>
      <errorID>4e90cf89-5fc4-4cb5-88b6-f9b95faabf71</errorID>
      <errorWord>、以及</errorWord>
      <group>L1_Punc</group>
      <groupName>标点问题</groupName>
      <ability>L2_Punc</ability>
      <abilityName>标点符号检查</abilityName>
      <candidateList>
        <item>，以及</item>
      </candidateList>
      <explain>连接词前后不宜使用顿号，建议使用逗号。</explain>
      <paraID>7033E959</paraID>
      <start>42</start>
      <end>45</end>
      <status>unmodified</status>
      <modifiedWord/>
      <trackRevisions>false</trackRevisions>
    </reviewItem>
    <reviewItem>
      <errorID>dd94fc9e-20a1-460d-b328-c2ca49eb704a</errorID>
      <errorWord>&lt;</errorWord>
      <group>L1_Format</group>
      <groupName>格式问题</groupName>
      <ability>L2_HalfPunc</ability>
      <abilityName>全半角检查</abilityName>
      <candidateList>
        <item>〈</item>
      </candidateList>
      <explain>文本全半角错误。</explain>
      <paraID>496685D9</paraID>
      <start>213</start>
      <end>214</end>
      <status>unmodified</status>
      <modifiedWord/>
      <trackRevisions>false</trackRevisions>
    </reviewItem>
    <reviewItem>
      <errorID>4de14057-cc36-40d6-88f6-308145e109de</errorID>
      <errorWord>&gt;</errorWord>
      <group>L1_Format</group>
      <groupName>格式问题</groupName>
      <ability>L2_HalfPunc</ability>
      <abilityName>全半角检查</abilityName>
      <candidateList>
        <item>〉</item>
      </candidateList>
      <explain>文本全半角错误。</explain>
      <paraID>496685D9</paraID>
      <start>246</start>
      <end>247</end>
      <status>unmodified</status>
      <modifiedWord/>
      <trackRevisions>false</trackRevisions>
    </reviewItem>
    <reviewItem>
      <errorID>dc089798-ae98-432f-a105-438d4360bb4d</errorID>
      <errorWord>必须</errorWord>
      <group>L1_Word</group>
      <groupName>字词问题</groupName>
      <ability>L2_Typo</ability>
      <abilityName>字词错误</abilityName>
      <candidateList>
        <item>必需</item>
      </candidateList>
      <explain>〈动〉一定要有；不可少：日用～品｜煤铁等是发展工业所～的原料。</explain>
      <paraID>19309F95</paraID>
      <start>9</start>
      <end>13</end>
      <status>modified</status>
      <modifiedWord>必需</modifiedWord>
      <trackRevisions>true</trackRevisions>
    </reviewItem>
    <reviewItem>
      <errorID>0e0b55cb-0005-4355-a190-1ea611655f10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4F9F5E5</paraID>
      <start>0</start>
      <end>4</end>
      <status>modified</status>
      <modifiedWord>1.</modifiedWord>
      <trackRevisions>true</trackRevisions>
    </reviewItem>
    <reviewItem>
      <errorID>0a462e07-10da-40d5-b2ef-78f2a7a4139d</errorID>
      <errorWord>&lt;</errorWord>
      <group>L1_Format</group>
      <groupName>格式问题</groupName>
      <ability>L2_HalfPunc</ability>
      <abilityName>全半角检查</abilityName>
      <candidateList>
        <item>〈</item>
      </candidateList>
      <explain>文本全半角错误。</explain>
      <paraID> 4F9F5E5</paraID>
      <start>217</start>
      <end>218</end>
      <status>unmodified</status>
      <modifiedWord/>
      <trackRevisions>false</trackRevisions>
    </reviewItem>
    <reviewItem>
      <errorID>4527a64d-4e42-45bc-a570-708ed4dbcc08</errorID>
      <errorWord>&gt;</errorWord>
      <group>L1_Format</group>
      <groupName>格式问题</groupName>
      <ability>L2_HalfPunc</ability>
      <abilityName>全半角检查</abilityName>
      <candidateList>
        <item>〉</item>
      </candidateList>
      <explain>文本全半角错误。</explain>
      <paraID> 4F9F5E5</paraID>
      <start>250</start>
      <end>251</end>
      <status>unmodified</status>
      <modifiedWord/>
      <trackRevisions>false</trackRevisions>
    </reviewItem>
    <reviewItem>
      <errorID>763613a3-ff3b-4326-8b53-3b0a2b55fa31</errorID>
      <errorWord>&lt;</errorWord>
      <group>L1_Format</group>
      <groupName>格式问题</groupName>
      <ability>L2_HalfPunc</ability>
      <abilityName>全半角检查</abilityName>
      <candidateList>
        <item>〈</item>
      </candidateList>
      <explain>文本全半角错误。</explain>
      <paraID>52A462E8</paraID>
      <start>51</start>
      <end>52</end>
      <status>unmodified</status>
      <modifiedWord/>
      <trackRevisions>false</trackRevisions>
    </reviewItem>
    <reviewItem>
      <errorID>5c523390-21bf-4a72-9105-83da3c4c6c9f</errorID>
      <errorWord>&gt;</errorWord>
      <group>L1_Format</group>
      <groupName>格式问题</groupName>
      <ability>L2_HalfPunc</ability>
      <abilityName>全半角检查</abilityName>
      <candidateList>
        <item>〉</item>
      </candidateList>
      <explain>文本全半角错误。</explain>
      <paraID>52A462E8</paraID>
      <start>84</start>
      <end>85</end>
      <status>unmodified</status>
      <modifiedWord/>
      <trackRevisions>false</trackRevisions>
    </reviewItem>
    <reviewItem>
      <errorID>dd665080-450c-445c-96b2-eb18859db62e</errorID>
      <errorWord>;</errorWord>
      <group>L1_Format</group>
      <groupName>格式问题</groupName>
      <ability>L2_HalfPunc</ability>
      <abilityName>全半角检查</abilityName>
      <candidateList>
        <item>；</item>
      </candidateList>
      <explain>文本全半角错误。</explain>
      <paraID>265647EA</paraID>
      <start>31</start>
      <end>32</end>
      <status>unmodified</status>
      <modifiedWord/>
      <trackRevisions>false</trackRevisions>
    </reviewItem>
    <reviewItem>
      <errorID>9b6b97a6-2af5-40b3-b073-1f6460060498</errorID>
      <errorWord>(</errorWord>
      <group>L1_Format</group>
      <groupName>格式问题</groupName>
      <ability>L2_HalfPunc</ability>
      <abilityName>全半角检查</abilityName>
      <candidateList>
        <item>（</item>
      </candidateList>
      <explain>文本全半角错误。</explain>
      <paraID>23B25E87</paraID>
      <start>70</start>
      <end>71</end>
      <status>unmodified</status>
      <modifiedWord/>
      <trackRevisions>false</trackRevisions>
    </reviewItem>
    <reviewItem>
      <errorID>d69bc9b2-4520-44bf-b820-160270e454be</errorID>
      <errorWord>)</errorWord>
      <group>L1_Format</group>
      <groupName>格式问题</groupName>
      <ability>L2_HalfPunc</ability>
      <abilityName>全半角检查</abilityName>
      <candidateList>
        <item>）</item>
      </candidateList>
      <explain>文本全半角错误。</explain>
      <paraID>23B25E87</paraID>
      <start>80</start>
      <end>81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c7453-167a-426d-b5bd-3bc9343231a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19673</Words>
  <Characters>21154</Characters>
  <Lines>477</Lines>
  <Paragraphs>349</Paragraphs>
  <TotalTime>278</TotalTime>
  <ScaleCrop>false</ScaleCrop>
  <LinksUpToDate>false</LinksUpToDate>
  <CharactersWithSpaces>21248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2022-05-29T22:34:00Z</dcterms:created>
  <dc:creator>01</dc:creator>
  <cp:lastModifiedBy>caibing</cp:lastModifiedBy>
  <cp:lastPrinted>2026-03-30T10:05:00Z</cp:lastPrinted>
  <dcterms:modified xsi:type="dcterms:W3CDTF">2026-04-09T06:39:31Z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CD0C90DD54F14D05AD1DEF7BF35C3CEE_13</vt:lpwstr>
  </property>
  <property fmtid="{D5CDD505-2E9C-101B-9397-08002B2CF9AE}" pid="4" name="KSOTemplateDocerSaveRecord">
    <vt:lpwstr>eyJoZGlkIjoiZDNlMWQ3Yjk0ZjE2MzFkZjk1ZmE4MTdjZDhjMTlhNmMiLCJ1c2VySWQiOiIxNTY4NjkyMzY2In0=</vt:lpwstr>
  </property>
</Properties>
</file>