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方正小标宋简体" w:hAnsi="方正小标宋简体" w:eastAsia="方正小标宋简体" w:cs="方正小标宋简体"/>
          <w:sz w:val="40"/>
          <w:szCs w:val="40"/>
          <w:lang w:val="en-US" w:eastAsia="zh-CN"/>
        </w:rPr>
      </w:pPr>
      <w:bookmarkStart w:id="0" w:name="_GoBack"/>
      <w:bookmarkEnd w:id="0"/>
      <w:r>
        <w:rPr>
          <w:rFonts w:hint="eastAsia" w:ascii="方正小标宋简体" w:hAnsi="方正小标宋简体" w:eastAsia="方正小标宋简体" w:cs="方正小标宋简体"/>
          <w:sz w:val="40"/>
          <w:szCs w:val="40"/>
          <w:lang w:val="en-US" w:eastAsia="zh-CN"/>
        </w:rPr>
        <w:t>项目需求书</w:t>
      </w:r>
    </w:p>
    <w:p>
      <w:pPr>
        <w:spacing w:line="440" w:lineRule="exact"/>
        <w:rPr>
          <w:rFonts w:hint="eastAsia" w:ascii="仿宋_GB2312" w:hAnsi="仿宋_GB2312" w:eastAsia="仿宋_GB2312" w:cs="仿宋_GB2312"/>
          <w:sz w:val="32"/>
          <w:szCs w:val="32"/>
        </w:rPr>
      </w:pP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一、项目名称</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横琴单牌车”北上涉“二线”卡口系统、智慧口岸公共服务平台和澳门机动车入出横琴综合管理系统改造（2026年）项目</w:t>
      </w: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二、项目目标</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通过对合作区“二线”卡口系统、智慧口岸公共服务平台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下称“智慧口岸平台”）</w:t>
      </w:r>
      <w:r>
        <w:rPr>
          <w:rFonts w:hint="eastAsia" w:ascii="仿宋_GB2312" w:hAnsi="仿宋_GB2312" w:eastAsia="仿宋_GB2312" w:cs="仿宋_GB2312"/>
          <w:sz w:val="32"/>
          <w:szCs w:val="32"/>
        </w:rPr>
        <w:t>和澳门机动车入出横琴综合管理系统（下称“澳门单牌车管理系统”）进行改造，实现 “二线” 卡口专网数据接入智慧口岸平台并同步至澳门单牌车管理系统，完成海关内网布设的10个“二线”入岛侧前置采集点摄像头迁移整合与集中管控；构建跨区域、跨部门数据协同监管机制，强化澳门机动车入出管理效能，保障 “二线” 卡口有序通行与精准监管，为单牌车停留时长核算、牌证超期判定、违规行驶筛查及规范化管理、联合研判提供高效数据支撑。</w:t>
      </w: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三、项目需求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一是将“二线”卡口专网数据接入智慧口岸平台大数据服务系统，实时同步共享至澳门单牌车管理系统及公安系统。</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将“二线”各通道场站在海关内网已完成布设的10个“二线”入岛侧前置采集点摄像头迁移至智慧口岸平台，纳入智慧口岸平台进行集中管控、统一运维，与海关对接，将“实时视频、录像、抓拍照片、识别到车牌的结构化数据”，通过智慧口岸平台安防管理平台对接至海关原有平台进行对接，完成数据推送，与公安对接，将入岛侧摄像头的视频通过安防管理平台共享至珠海市视频云平台，实现对该采集点的监控实时查看和回放查看，并通过政务外网将采集的结构化数据传输至公安的大数据系统。</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智慧口岸平台对接澳门单牌车管理系统，完成车辆结构化数据及关联高清原始图片的全量获取，为后续的图片复核、证据固定留存及异常数据清洗提供完整的数据基础。开发单一图片和批量图片上传接口，用于澳门单牌车管理系统接收并存储“二线”卡口系统的车辆图片。其中“二线”卡口系统的车辆图片通过读取“二线”卡口车辆通行信息中提供的图片地址下载存储，智慧口岸平台的车辆图片通过读取原项目相同品牌的平台的认证API后进行图片下载，完成车高清原始图片的全量获取。</w:t>
      </w: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四、项目周期</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本项目实施要求2.5个月内完成（以实际完成时间为准）。</w:t>
      </w: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五、项目预算</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本项目预算为金额为</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highlight w:val="none"/>
          <w:lang w:val="en-US" w:eastAsia="zh-CN"/>
        </w:rPr>
        <w:t>币</w:t>
      </w:r>
      <w:r>
        <w:rPr>
          <w:rFonts w:hint="eastAsia" w:ascii="仿宋_GB2312" w:hAnsi="仿宋_GB2312" w:eastAsia="仿宋_GB2312" w:cs="仿宋_GB2312"/>
          <w:sz w:val="32"/>
          <w:szCs w:val="32"/>
          <w:highlight w:val="none"/>
        </w:rPr>
        <w:t>385,540.0</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rPr>
        <w:t>本项目为总价包干，总费用报价中应包含但不限于：人力成本、设备成本、差旅费、技术服务费（含联络费、调试费、保修费）、为完成服务产生的必要其他费用、税费。</w:t>
      </w:r>
    </w:p>
    <w:p>
      <w:pPr>
        <w:spacing w:line="44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建设内容</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2"/>
        <w:gridCol w:w="1633"/>
        <w:gridCol w:w="1531"/>
        <w:gridCol w:w="4535"/>
        <w:gridCol w:w="721"/>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3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53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产品类别</w:t>
            </w:r>
          </w:p>
        </w:tc>
        <w:tc>
          <w:tcPr>
            <w:tcW w:w="453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参数</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专网采集数据转发服务</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软件（定制开发）</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在“二线”卡口专网管理平台中建设专网采集转发服务，支持适配“二线”卡口采集数据进行同步分发，以适应后续“二线”卡口数据多地址转发。</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“二线”卡口数据接口服务</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软件（定制开发）</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针对智慧口岸平台“二线”卡口数据接收接口，进行适配性开发，满足对接要求。</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澳门单牌车“二线”卡口出区数据推送接口服务</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软件（定制开发）</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针对智慧口岸平台接收的“二线”卡口数据接后，再推送至澳门单牌车，进行适配性开发，满足对接要求。</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澳门单牌车入区数据推送接口服务</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软件（定制开发）</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针对智慧口岸平台接收10前置摄像头的数据接后，再推送至澳门单牌车，进行适配性开发，满足对接要求。</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开发单一图片和批量图片上传接口服务</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软件（定制开发）</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开发单一图片和批量图片上传接口，用于接收并存储“二线”通道的车辆图片</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部署联调测试</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联调测试服务</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针对“二线”卡口采集数据对接进行相应部署联调及测试工作</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视频监控监控平台授权扩容</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软件（原项目相同品牌）</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监控应用提供视频管理服务，支持编码设备通过设备网络SDK协议、Ehome协议、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一、视频预览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1、支持视频实时预览能力，实现预览窗口布局切换、预览画面自适应及全屏切换；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2、支持云台控制、实时抓图、紧急录像、即时回放、主子码流切换、声音开启\关闭、辅屏预览（1个辅屏）、对讲、广播、报警输出控制的能力；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3、支持智能规则展示的能力（如：针对热成像设备温度信息实时展示）；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4、支持资源视图管理能力，以视图形式管理监控点、视频预览轮巡等自定义资源组，其中视图类型包含公有视图和私有视图；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5、支持全景视频监控预览能力，支持球型鹰眼、全景摄像机的全景模式；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二、录像回放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1、支持录像计划管理能力，支持实时录像计划、录像回传计划；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2、支持录像回放能力，支持多画面同步回放和异步回放切换、超高倍速回放、分段回放、录像下载、录像剪辑、录像标签、录像锁定、录像抓图；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三、图片监控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1、支持视频预览与图片实时监控模式切换能力，实现图片监控模式；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2、支持图片查询回放能力，实现按监控点、时间段展示抓拍图片；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3、支持图片自动播放能力，支持图片自动播放速度可设置；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4、支持图片下载能力；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四、视频上墙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1、支持电视墙场景管理能力，实现场景窗口配置、场景切换计划配置以及轮巡计划的管理；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2、支持上墙控制能力，实现场景一键上墙、场景切换、电视墙切换、监控点上下墙、轮巡控制操作；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五、视频事件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1、支持视频事件布撤防能力，可按计划模版进行布防，事件类型包括移动侦测、视频丢失、视频遮挡、报警输入、报警输出；</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“二线”卡口授权</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软件（原项目相同品牌）</w:t>
            </w:r>
          </w:p>
        </w:tc>
        <w:tc>
          <w:tcPr>
            <w:tcW w:w="4535" w:type="dxa"/>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车道授权</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软件（原项目相同品牌）</w:t>
            </w:r>
          </w:p>
        </w:tc>
        <w:tc>
          <w:tcPr>
            <w:tcW w:w="4535" w:type="dxa"/>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网络存储</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3U 16盘位，机架式网络存储设备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【硬件规格】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处理器：1颗64位多核处理器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系统内存：8GB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磁盘接口：16个SATA接口，支持硬盘热插拔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网络接口：3个2.5G数据网口，1个2.5G管理口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整机电源：550W，1+1冗余电源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其他接口：1×COM，2×USB2.0（前置），2×USB3.0（后置），1×VGA（后置），1×HDMI（后置）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【产品性能】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视频性能：最大支持接入450路（最大接入带宽900Mbps）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【产品功能】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支持视频流直写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支持ONVIF、GB/T 28181、RTSP等标准协议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支持VRAID、RAID0、1、5、6、10、50等多种RAID模式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支持一键配置（VRAID模式），可快速部署阵列和存储池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支持多存储池功能，录像池最多7个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支持局部重构，原盘或其克隆盘拔出设备后再插回，未被覆盖数据可快速恢复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支持视频检索功能，按照监控点编号、录像类型、时间组合等条件查询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支持视频回放功能，正序回放、定位回放、倍速回放等功能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支持按需取流功能，未处于录像计划时间内的通道不占用网络带宽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支持运维总览展示，可快速定位设备异常情况 </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存储硬盘</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8TB容量，3.5英寸，SATA3.0接口，7200RPM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空气盘， CMR传统磁记录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传输速率267 MB/s，256MB高速缓存，流畅存储视频有效防止丢帧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MTBF可达2,000,000小时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支持5年有限质保服务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适用海拔高度范围-305m至3050m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接口类型：SATA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尺寸：147mm(L)×101.6mm(W)×26.1mm(H)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转速：7200RPM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平均读写功率（W）：8.0W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缓存：256MB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标称容量：8TB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刻录技术：CMR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接口传输速率（最大值）：6.0Gb/s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MTBF：2,000,000 </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数据集成基础包</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数据集成软件</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提供数据集成开发、管理、服务对应的基础能力</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视图数据级联</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数据集成软件</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支持基于GA/T 1400协议级联上级或跨网摆渡各类视图数据，实现上下级视图库的多级联网接入与数据推送。</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智慧口岸平台软件定制</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数据集成软件</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定制将10个“二线”卡口产生的车辆及人脸数据传输到海关管理网内网</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海关软件定制</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数据集成软件</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定制接收智慧口岸平台传输过来的车辆及人脸数据，并将数据落库存储</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专线服务一</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运营商一</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智慧口岸平台与澳门单牌车管理系统的专线100M</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专线服务二</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运营商二</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智慧口岸平台与澳门单牌车管理系统的专线100M</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防火墙扩展卡</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千兆接口扩展卡,8个SFP插槽;</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防火墙光模块</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千兆单模光口SFP模块</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633"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视频监控监控平台升级</w:t>
            </w:r>
          </w:p>
        </w:tc>
        <w:tc>
          <w:tcPr>
            <w:tcW w:w="1531"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软件（原项目相同品牌）</w:t>
            </w:r>
          </w:p>
        </w:tc>
        <w:tc>
          <w:tcPr>
            <w:tcW w:w="4535"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ISC170组件升级</w:t>
            </w:r>
          </w:p>
        </w:tc>
        <w:tc>
          <w:tcPr>
            <w:tcW w:w="72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22"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r>
    </w:tbl>
    <w:p>
      <w:pPr>
        <w:spacing w:line="440" w:lineRule="exact"/>
        <w:rPr>
          <w:rFonts w:hint="eastAsia" w:ascii="仿宋_GB2312" w:hAnsi="仿宋_GB2312" w:eastAsia="仿宋_GB2312" w:cs="仿宋_GB2312"/>
          <w:sz w:val="32"/>
          <w:szCs w:val="32"/>
        </w:rPr>
      </w:pP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七、试运行和验收要求及标准</w:t>
      </w:r>
    </w:p>
    <w:p>
      <w:pPr>
        <w:spacing w:line="4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（一）试运行要求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通过实际运行中系统功能与性能的全面考核，来检验系统在长期运行中的整体稳定性和可靠性，包括以下方面：</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a)系统功能及性能的实际应用考核；</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b)系统应用软件、软件支撑平台的长期稳定性和可靠性；</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c)系统主要硬件设备、辅助设备的长期稳定性和可靠性；</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d)数据通信系统的长期稳定性和可靠性；</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e)检测数据的长期准确性和完整性；</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f)系统长期安全性能；</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g)网络连接的可靠性。</w:t>
      </w:r>
    </w:p>
    <w:p>
      <w:pPr>
        <w:spacing w:line="4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（二）验收流程</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项目竣工后，项目建设部门自行组织对项目进行验收。</w:t>
      </w:r>
    </w:p>
    <w:p>
      <w:pPr>
        <w:spacing w:line="4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（三）验收标准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本项目的验收标准参照《横琴粤澳深度合作区执行委员会政务信息化项目管理暂行办法》文件中相关规定来执行。</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1.初步测试标准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完成所有系统安装调试后由业主单位组织进行项目初步测试，对本项目进行现场测试，并根据提交的系统测试数据及完整的工程文档，对照项目要求标准逐项逐条核实，确定合格后，出具初步测试意见。项目要求标准如下：</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（1）二线卡口专网数据成功接入智慧口岸平台，并实现与澳门单牌车管理系统数据同步，数据传输稳定、业务流转正常。</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（2）海关内网布设的 10 个二线入岛侧前置采集点摄像头完成迁移整合，实现集中统一管控，设备运行正常、画面可正常调取。</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（3）实现二线卡口有序通行保障与精准监管，满足单牌车停留时长核算、牌证超期判定、违规行驶筛查、规范化管理及联合研判的数据支撑要求。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（4）项目整体功能满足建设需求，业务流程顺畅，达到项目建设目标。</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2.综合验收标准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需要出具试运行报告，且经有相关资质的第三方机构进行验收测试，初步测试意见、第三方机构所出具的第三方测试报告作为项目综合验收的重要依据。</w:t>
      </w: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八、项目知识产权要求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本项目建设成果的所有权与知识产权均归业主单位所有。</w:t>
      </w: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九、项目运维与售后服务方案</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为保证本项目满足平台相关参与者的需求，以及跟踪与保障平台与各业务系统、相关系统接口的运行稳定性，需要在运维上考虑专业服务保障。本项目软件部分的免费维保服务期为一年。</w:t>
      </w:r>
    </w:p>
    <w:p>
      <w:pPr>
        <w:spacing w:line="4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（一）服务响应要求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故障应急处理机制，将系统运行维护中遇到的故障划分为四个不同等级，对于出现的系统故障，技术团队应在30分钟内响应，制定紧急应对方案，限时解决。一时无法解决的，向业主单位报告，寻求进一步解决的方案。</w:t>
      </w:r>
    </w:p>
    <w:p>
      <w:pPr>
        <w:spacing w:line="4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（二）运维流程管理要求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为保障运维服务工作的有序开展，规范运维工作和人员服务,使运维人员操作标准化，避免人为操作不当引起的重大、关键运维事故：</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（1）制定一套可落地实施的标准化运维服务流程。</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（2）建立7×24服务热线，以随时响应故障处理或服务请求。</w:t>
      </w:r>
    </w:p>
    <w:p>
      <w:pPr>
        <w:spacing w:line="4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（三）系统软件与接口运维要求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（1）应根据实际情况及需求构建技术支持服务体系，确保后端支持的有效性。当项目中使用的各种操作系统和软件中间件出现故障时，能够迅速定位并解决问题。</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（2）负责系统与外部接口的日常监控、配置维护、故障排查与修复（包括代码缺陷修复），确保接口的稳定性和数据交换的准确性、及时性。</w:t>
      </w:r>
    </w:p>
    <w:p>
      <w:pPr>
        <w:spacing w:line="440" w:lineRule="exact"/>
        <w:ind w:firstLine="640" w:firstLineChars="200"/>
        <w:rPr>
          <w:rFonts w:hint="eastAsia" w:ascii="仿宋_GB2312" w:hAnsi="仿宋_GB2312" w:eastAsia="仿宋_GB2312" w:cs="仿宋_GB2312"/>
          <w:sz w:val="32"/>
          <w:szCs w:val="32"/>
        </w:rPr>
      </w:pPr>
    </w:p>
    <w:p/>
    <w:sectPr>
      <w:footerReference r:id="rId3" w:type="default"/>
      <w:pgSz w:w="11906" w:h="16838"/>
      <w:pgMar w:top="1417" w:right="1134" w:bottom="1417" w:left="113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C059D"/>
    <w:rsid w:val="029C1F55"/>
    <w:rsid w:val="03ED71B8"/>
    <w:rsid w:val="0D79194C"/>
    <w:rsid w:val="0DAA6AAB"/>
    <w:rsid w:val="13655543"/>
    <w:rsid w:val="158C059D"/>
    <w:rsid w:val="19D10D4E"/>
    <w:rsid w:val="1A5E6E15"/>
    <w:rsid w:val="1CEF6B87"/>
    <w:rsid w:val="1D492719"/>
    <w:rsid w:val="1E9C1B23"/>
    <w:rsid w:val="1F473B89"/>
    <w:rsid w:val="22AA485B"/>
    <w:rsid w:val="25A26091"/>
    <w:rsid w:val="28167DD4"/>
    <w:rsid w:val="29BE71D6"/>
    <w:rsid w:val="2F382FF9"/>
    <w:rsid w:val="30E25EAB"/>
    <w:rsid w:val="310740EC"/>
    <w:rsid w:val="328208EE"/>
    <w:rsid w:val="32843DF1"/>
    <w:rsid w:val="35507787"/>
    <w:rsid w:val="40BD0E52"/>
    <w:rsid w:val="432F07FC"/>
    <w:rsid w:val="44AE35BC"/>
    <w:rsid w:val="44EE7FDE"/>
    <w:rsid w:val="477D002C"/>
    <w:rsid w:val="480F5247"/>
    <w:rsid w:val="50220A03"/>
    <w:rsid w:val="541F584C"/>
    <w:rsid w:val="554C7D7D"/>
    <w:rsid w:val="55B80731"/>
    <w:rsid w:val="5E457C1A"/>
    <w:rsid w:val="61A11182"/>
    <w:rsid w:val="64F3597A"/>
    <w:rsid w:val="68533994"/>
    <w:rsid w:val="687B6D6D"/>
    <w:rsid w:val="708C4543"/>
    <w:rsid w:val="737A2701"/>
    <w:rsid w:val="742965F9"/>
    <w:rsid w:val="75E47AFE"/>
    <w:rsid w:val="769900A0"/>
    <w:rsid w:val="789D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line="480" w:lineRule="exact"/>
      <w:ind w:left="810" w:firstLine="675"/>
    </w:pPr>
    <w:rPr>
      <w:rFonts w:eastAsia="仿宋_GB2312"/>
      <w:sz w:val="30"/>
      <w:szCs w:val="20"/>
    </w:rPr>
  </w:style>
  <w:style w:type="paragraph" w:styleId="3">
    <w:name w:val="Body Text"/>
    <w:basedOn w:val="1"/>
    <w:autoRedefine/>
    <w:unhideWhenUsed/>
    <w:qFormat/>
    <w:uiPriority w:val="99"/>
    <w:pPr>
      <w:spacing w:after="120"/>
    </w:pPr>
    <w:rPr>
      <w:rFonts w:ascii="等线" w:hAnsi="等线" w:eastAsia="等线"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2023-10-09T09:13:00Z</dcterms:created>
  <dc:creator>李铭烜</dc:creator>
  <cp:lastModifiedBy>caibing</cp:lastModifiedBy>
  <cp:lastPrinted>2024-01-25T04:45:00Z</cp:lastPrinted>
  <dcterms:modified xsi:type="dcterms:W3CDTF">2026-04-17T07:21:44Z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A7966E3541E94A75836ABA2C7A1020A2_13</vt:lpwstr>
  </property>
</Properties>
</file>