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keepNext w:val="0"/>
        <w:keepLines w:val="0"/>
        <w:pageBreakBefore w:val="0"/>
        <w:widowControl w:val="0"/>
        <w:kinsoku/>
        <w:wordWrap/>
        <w:overflowPunct/>
        <w:topLinePunct w:val="0"/>
        <w:autoSpaceDE/>
        <w:autoSpaceDN/>
        <w:bidi w:val="0"/>
        <w:snapToGrid/>
        <w:jc w:val="center"/>
        <w:textAlignment w:val="auto"/>
        <w:rPr>
          <w:b/>
          <w:bCs/>
          <w:sz w:val="44"/>
          <w:szCs w:val="44"/>
          <w:lang w:eastAsia="zh-TW"/>
        </w:rPr>
      </w:pP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b w:val="0"/>
          <w:bCs/>
        </w:rPr>
      </w:pPr>
      <w:r>
        <w:rPr>
          <w:rFonts w:hint="eastAsia"/>
          <w:b w:val="0"/>
          <w:bCs/>
        </w:rPr>
        <w:t>一、项目名称</w:t>
      </w:r>
    </w:p>
    <w:p>
      <w:pPr>
        <w:keepNext w:val="0"/>
        <w:keepLines w:val="0"/>
        <w:pageBreakBefore w:val="0"/>
        <w:widowControl w:val="0"/>
        <w:kinsoku/>
        <w:wordWrap/>
        <w:overflowPunct/>
        <w:topLinePunct w:val="0"/>
        <w:autoSpaceDE/>
        <w:autoSpaceDN/>
        <w:bidi w:val="0"/>
        <w:adjustRightInd/>
        <w:spacing w:line="579"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横琴粤澳深度合作区城市规划和建设网联汽车监管运营平台（二期）项目</w:t>
      </w: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b w:val="0"/>
          <w:bCs/>
        </w:rPr>
      </w:pPr>
      <w:r>
        <w:rPr>
          <w:rFonts w:hint="eastAsia"/>
          <w:b w:val="0"/>
          <w:bCs/>
        </w:rPr>
        <w:t>二、项目概况</w:t>
      </w:r>
    </w:p>
    <w:p>
      <w:pPr>
        <w:pStyle w:val="26"/>
        <w:keepNext w:val="0"/>
        <w:keepLines w:val="0"/>
        <w:pageBreakBefore w:val="0"/>
        <w:widowControl w:val="0"/>
        <w:kinsoku/>
        <w:wordWrap/>
        <w:overflowPunct/>
        <w:topLinePunct w:val="0"/>
        <w:autoSpaceDE/>
        <w:autoSpaceDN/>
        <w:bidi w:val="0"/>
        <w:adjustRightInd/>
        <w:spacing w:line="579" w:lineRule="exact"/>
        <w:ind w:left="0" w:leftChars="0" w:firstLine="640"/>
        <w:textAlignment w:val="auto"/>
        <w:rPr>
          <w:rFonts w:hint="eastAsia" w:eastAsia="宋体"/>
          <w:lang w:eastAsia="zh-CN"/>
        </w:rPr>
      </w:pPr>
      <w:r>
        <w:rPr>
          <w:rFonts w:hint="eastAsia" w:ascii="仿宋" w:hAnsi="仿宋" w:eastAsia="仿宋" w:cs="仿宋"/>
          <w:bCs/>
          <w:sz w:val="32"/>
          <w:szCs w:val="32"/>
          <w:lang w:val="en-US" w:eastAsia="zh-CN"/>
        </w:rPr>
        <w:t>横琴粤澳深度合作区智能网联汽车监管运营平台一期于2024年10月启动建设，2025年7月完成终验，实现了智能网联汽车的基础监管与运营管理，包括车辆实时监控、数据统计分析等功能，为测试与示范应用提供支撑。随着Robobus商业化运营，合作区引入Robotaxi、物流车等新车型，并对安全员行为监管、车辆档案管理等提出更高要求。因此启动二期建设，重点围绕商业化运营支撑、新车型接入、安全预警增强等方面进行扩展与优化，构建更加高效、安全、可靠的监管运营体系。</w:t>
      </w: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b w:val="0"/>
          <w:bCs/>
        </w:rPr>
      </w:pPr>
      <w:r>
        <w:rPr>
          <w:rFonts w:hint="eastAsia"/>
          <w:b w:val="0"/>
          <w:bCs/>
        </w:rPr>
        <w:t>三、</w:t>
      </w:r>
      <w:r>
        <w:rPr>
          <w:rFonts w:hint="eastAsia"/>
          <w:b w:val="0"/>
          <w:bCs/>
          <w:lang w:eastAsia="zh-CN"/>
        </w:rPr>
        <w:t>项目</w:t>
      </w:r>
      <w:r>
        <w:rPr>
          <w:rFonts w:hint="eastAsia"/>
          <w:b w:val="0"/>
          <w:bCs/>
        </w:rPr>
        <w:t>期限</w:t>
      </w:r>
    </w:p>
    <w:p>
      <w:pPr>
        <w:pStyle w:val="26"/>
        <w:keepNext w:val="0"/>
        <w:keepLines w:val="0"/>
        <w:pageBreakBefore w:val="0"/>
        <w:widowControl w:val="0"/>
        <w:kinsoku/>
        <w:wordWrap/>
        <w:overflowPunct/>
        <w:topLinePunct w:val="0"/>
        <w:autoSpaceDE/>
        <w:autoSpaceDN/>
        <w:bidi w:val="0"/>
        <w:adjustRightInd/>
        <w:spacing w:line="579" w:lineRule="exact"/>
        <w:ind w:left="0" w:leftChars="0"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b w:val="0"/>
          <w:bCs/>
        </w:rPr>
      </w:pPr>
      <w:r>
        <w:rPr>
          <w:rFonts w:hint="eastAsia"/>
          <w:b w:val="0"/>
          <w:bCs/>
        </w:rPr>
        <w:t>四、</w:t>
      </w:r>
      <w:r>
        <w:rPr>
          <w:rFonts w:hint="eastAsia"/>
          <w:b w:val="0"/>
          <w:bCs/>
          <w:lang w:eastAsia="zh-CN"/>
        </w:rPr>
        <w:t>项目</w:t>
      </w:r>
      <w:r>
        <w:rPr>
          <w:rFonts w:hint="eastAsia"/>
          <w:b w:val="0"/>
          <w:bCs/>
        </w:rPr>
        <w:t>内容及要求</w:t>
      </w:r>
    </w:p>
    <w:p>
      <w:pPr>
        <w:pStyle w:val="26"/>
        <w:keepNext w:val="0"/>
        <w:keepLines w:val="0"/>
        <w:pageBreakBefore w:val="0"/>
        <w:widowControl w:val="0"/>
        <w:kinsoku/>
        <w:wordWrap/>
        <w:overflowPunct/>
        <w:topLinePunct w:val="0"/>
        <w:autoSpaceDE/>
        <w:autoSpaceDN/>
        <w:bidi w:val="0"/>
        <w:adjustRightInd/>
        <w:spacing w:line="579" w:lineRule="exact"/>
        <w:ind w:left="0" w:leftChars="0"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建设内容见《</w:t>
      </w:r>
      <w:r>
        <w:rPr>
          <w:rFonts w:hint="eastAsia" w:ascii="仿宋" w:hAnsi="仿宋" w:eastAsia="仿宋" w:cs="仿宋"/>
          <w:bCs/>
          <w:sz w:val="32"/>
          <w:szCs w:val="32"/>
        </w:rPr>
        <w:t>横琴粤澳深度合作区</w:t>
      </w:r>
      <w:r>
        <w:rPr>
          <w:rFonts w:hint="eastAsia" w:ascii="仿宋" w:hAnsi="仿宋" w:eastAsia="仿宋" w:cs="仿宋"/>
          <w:bCs/>
          <w:sz w:val="32"/>
          <w:szCs w:val="32"/>
          <w:lang w:val="en-US" w:eastAsia="zh-CN"/>
        </w:rPr>
        <w:t>城市规划和建设局智能网联汽车监管运营平台（二期）软件开发</w:t>
      </w:r>
      <w:r>
        <w:rPr>
          <w:rFonts w:hint="eastAsia" w:ascii="仿宋" w:hAnsi="仿宋" w:eastAsia="仿宋" w:cs="仿宋"/>
          <w:sz w:val="32"/>
          <w:szCs w:val="32"/>
          <w:lang w:eastAsia="zh-CN"/>
        </w:rPr>
        <w:t>功能详情》（附件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），要求成功上线各项功能，并通过项目验收。</w:t>
      </w: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hAnsi="Times New Roman" w:cs="Times New Roman"/>
          <w:b w:val="0"/>
          <w:bCs/>
        </w:rPr>
      </w:pPr>
      <w:bookmarkStart w:id="0" w:name="_Toc529800909"/>
      <w:bookmarkStart w:id="1" w:name="_Toc77098321"/>
      <w:bookmarkStart w:id="2" w:name="_Toc76328165"/>
      <w:r>
        <w:rPr>
          <w:rFonts w:hint="eastAsia" w:hAnsi="Times New Roman" w:cs="Times New Roman"/>
          <w:b w:val="0"/>
          <w:bCs/>
        </w:rPr>
        <w:t>五、考核标准</w:t>
      </w:r>
    </w:p>
    <w:p>
      <w:pPr>
        <w:keepNext w:val="0"/>
        <w:keepLines w:val="0"/>
        <w:pageBreakBefore w:val="0"/>
        <w:widowControl w:val="0"/>
        <w:kinsoku/>
        <w:wordWrap/>
        <w:overflowPunct/>
        <w:topLinePunct w:val="0"/>
        <w:autoSpaceDE/>
        <w:autoSpaceDN/>
        <w:bidi w:val="0"/>
        <w:adjustRightInd/>
        <w:snapToGrid w:val="0"/>
        <w:spacing w:line="579" w:lineRule="exact"/>
        <w:ind w:left="0" w:leftChars="0" w:firstLine="624" w:firstLineChars="200"/>
        <w:textAlignment w:val="auto"/>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w:t>
      </w:r>
      <w:r>
        <w:rPr>
          <w:rFonts w:hint="eastAsia" w:ascii="仿宋" w:hAnsi="仿宋" w:eastAsia="仿宋" w:cs="仿宋"/>
          <w:spacing w:val="-4"/>
          <w:sz w:val="32"/>
          <w:szCs w:val="32"/>
          <w:lang w:eastAsia="zh-CN"/>
        </w:rPr>
        <w:t>书</w:t>
      </w:r>
      <w:r>
        <w:rPr>
          <w:rFonts w:hint="eastAsia" w:ascii="仿宋" w:hAnsi="仿宋" w:eastAsia="仿宋" w:cs="仿宋"/>
          <w:spacing w:val="-4"/>
          <w:sz w:val="32"/>
          <w:szCs w:val="32"/>
        </w:rPr>
        <w:t>执行。</w:t>
      </w:r>
    </w:p>
    <w:bookmarkEnd w:id="0"/>
    <w:bookmarkEnd w:id="1"/>
    <w:bookmarkEnd w:id="2"/>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hAnsi="Times New Roman" w:cs="Times New Roman"/>
          <w:b w:val="0"/>
          <w:bCs/>
        </w:rPr>
      </w:pPr>
      <w:r>
        <w:rPr>
          <w:rFonts w:hint="eastAsia" w:hAnsi="Times New Roman" w:cs="Times New Roman"/>
          <w:b w:val="0"/>
          <w:bCs/>
        </w:rPr>
        <w:t>六、采购预算及响应报价要求</w:t>
      </w:r>
    </w:p>
    <w:p>
      <w:pPr>
        <w:keepNext w:val="0"/>
        <w:keepLines w:val="0"/>
        <w:pageBreakBefore w:val="0"/>
        <w:widowControl w:val="0"/>
        <w:kinsoku/>
        <w:wordWrap/>
        <w:overflowPunct/>
        <w:topLinePunct w:val="0"/>
        <w:autoSpaceDE/>
        <w:autoSpaceDN/>
        <w:bidi w:val="0"/>
        <w:adjustRightInd/>
        <w:snapToGrid w:val="0"/>
        <w:spacing w:line="579" w:lineRule="exact"/>
        <w:ind w:left="0" w:leftChars="0" w:firstLine="624" w:firstLineChars="200"/>
        <w:textAlignment w:val="auto"/>
        <w:rPr>
          <w:rFonts w:ascii="仿宋" w:hAnsi="仿宋" w:eastAsia="仿宋" w:cs="仿宋"/>
          <w:spacing w:val="-4"/>
          <w:sz w:val="32"/>
          <w:szCs w:val="32"/>
        </w:rPr>
      </w:pPr>
      <w:r>
        <w:rPr>
          <w:rFonts w:hint="eastAsia" w:ascii="仿宋" w:hAnsi="仿宋" w:eastAsia="仿宋" w:cs="仿宋"/>
          <w:spacing w:val="-4"/>
          <w:sz w:val="32"/>
          <w:szCs w:val="32"/>
        </w:rPr>
        <w:t>本项目</w:t>
      </w:r>
      <w:r>
        <w:rPr>
          <w:rFonts w:hint="eastAsia" w:ascii="仿宋" w:hAnsi="仿宋" w:eastAsia="仿宋" w:cs="仿宋"/>
          <w:spacing w:val="-4"/>
          <w:sz w:val="32"/>
          <w:szCs w:val="32"/>
          <w:lang w:eastAsia="zh-CN"/>
        </w:rPr>
        <w:t>预算为</w:t>
      </w:r>
      <w:r>
        <w:rPr>
          <w:rFonts w:hint="eastAsia" w:ascii="仿宋" w:hAnsi="仿宋" w:eastAsia="仿宋" w:cs="仿宋"/>
          <w:spacing w:val="-4"/>
          <w:sz w:val="32"/>
          <w:szCs w:val="32"/>
          <w:lang w:val="en-US" w:eastAsia="zh-CN"/>
        </w:rPr>
        <w:t>400,154.00元,</w:t>
      </w:r>
      <w:r>
        <w:rPr>
          <w:rFonts w:hint="eastAsia" w:ascii="仿宋" w:hAnsi="仿宋" w:eastAsia="仿宋" w:cs="仿宋"/>
          <w:spacing w:val="-4"/>
          <w:sz w:val="32"/>
          <w:szCs w:val="32"/>
        </w:rPr>
        <w:t>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pStyle w:val="3"/>
        <w:keepNext w:val="0"/>
        <w:keepLines w:val="0"/>
        <w:pageBreakBefore w:val="0"/>
        <w:widowControl w:val="0"/>
        <w:kinsoku/>
        <w:wordWrap/>
        <w:overflowPunct/>
        <w:topLinePunct w:val="0"/>
        <w:autoSpaceDE/>
        <w:autoSpaceDN/>
        <w:bidi w:val="0"/>
        <w:adjustRightInd/>
        <w:spacing w:line="579" w:lineRule="exact"/>
        <w:ind w:left="0" w:leftChars="0"/>
        <w:textAlignment w:val="auto"/>
        <w:rPr>
          <w:rFonts w:hint="eastAsia" w:hAnsi="Times New Roman" w:cs="Times New Roman"/>
          <w:b w:val="0"/>
          <w:bCs/>
        </w:rPr>
      </w:pPr>
      <w:r>
        <w:rPr>
          <w:rFonts w:hint="eastAsia" w:hAnsi="Times New Roman" w:cs="Times New Roman"/>
          <w:b w:val="0"/>
          <w:bCs/>
        </w:rPr>
        <w:t>七、付款方式</w:t>
      </w:r>
    </w:p>
    <w:p>
      <w:pPr>
        <w:keepNext w:val="0"/>
        <w:keepLines w:val="0"/>
        <w:pageBreakBefore w:val="0"/>
        <w:widowControl w:val="0"/>
        <w:kinsoku/>
        <w:wordWrap/>
        <w:overflowPunct/>
        <w:topLinePunct w:val="0"/>
        <w:autoSpaceDE/>
        <w:autoSpaceDN/>
        <w:bidi w:val="0"/>
        <w:adjustRightInd/>
        <w:snapToGrid w:val="0"/>
        <w:spacing w:line="579" w:lineRule="exact"/>
        <w:ind w:left="0" w:leftChars="0" w:firstLine="624" w:firstLineChars="200"/>
        <w:textAlignment w:val="auto"/>
        <w:rPr>
          <w:sz w:val="32"/>
          <w:szCs w:val="32"/>
        </w:rPr>
      </w:pPr>
      <w:r>
        <w:rPr>
          <w:rFonts w:hint="eastAsia" w:ascii="仿宋" w:hAnsi="仿宋" w:eastAsia="仿宋" w:cs="仿宋"/>
          <w:spacing w:val="-4"/>
          <w:sz w:val="32"/>
          <w:szCs w:val="32"/>
        </w:rPr>
        <w:t>1期：成交供应商与采购人签订合同</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个工作日内，采购人向成交供应商支付合同总价款的</w:t>
      </w:r>
      <w:r>
        <w:rPr>
          <w:rFonts w:hint="eastAsia" w:ascii="仿宋" w:hAnsi="仿宋" w:cs="仿宋" w:eastAsiaTheme="minorEastAsia"/>
          <w:spacing w:val="-4"/>
          <w:sz w:val="32"/>
          <w:szCs w:val="32"/>
          <w:lang w:val="en-US" w:eastAsia="zh-CN"/>
        </w:rPr>
        <w:t>6</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keepNext w:val="0"/>
        <w:keepLines w:val="0"/>
        <w:pageBreakBefore w:val="0"/>
        <w:widowControl w:val="0"/>
        <w:kinsoku/>
        <w:wordWrap/>
        <w:overflowPunct/>
        <w:topLinePunct w:val="0"/>
        <w:autoSpaceDE/>
        <w:autoSpaceDN/>
        <w:bidi w:val="0"/>
        <w:adjustRightInd/>
        <w:snapToGrid w:val="0"/>
        <w:spacing w:line="579" w:lineRule="exact"/>
        <w:ind w:left="0" w:leftChars="0" w:firstLine="624" w:firstLineChars="200"/>
        <w:textAlignment w:val="auto"/>
        <w:rPr>
          <w:rFonts w:ascii="仿宋" w:hAnsi="仿宋" w:eastAsia="仿宋" w:cs="仿宋"/>
          <w:spacing w:val="-4"/>
          <w:sz w:val="32"/>
          <w:szCs w:val="32"/>
        </w:rPr>
      </w:pPr>
      <w:r>
        <w:rPr>
          <w:rFonts w:hint="eastAsia" w:ascii="仿宋" w:hAnsi="仿宋" w:eastAsia="仿宋" w:cs="仿宋"/>
          <w:spacing w:val="-4"/>
          <w:sz w:val="32"/>
          <w:szCs w:val="32"/>
          <w:lang w:val="en-US" w:eastAsia="zh-CN"/>
        </w:rPr>
        <w:t>2</w:t>
      </w:r>
      <w:r>
        <w:rPr>
          <w:rFonts w:hint="eastAsia" w:ascii="仿宋" w:hAnsi="仿宋" w:eastAsia="仿宋" w:cs="仿宋"/>
          <w:spacing w:val="-4"/>
          <w:sz w:val="32"/>
          <w:szCs w:val="32"/>
        </w:rPr>
        <w:t>期：</w:t>
      </w:r>
      <w:r>
        <w:rPr>
          <w:rFonts w:hint="eastAsia" w:ascii="仿宋" w:hAnsi="仿宋" w:eastAsia="仿宋" w:cs="仿宋"/>
          <w:spacing w:val="-4"/>
          <w:sz w:val="32"/>
          <w:szCs w:val="32"/>
          <w:lang w:eastAsia="zh-CN"/>
        </w:rPr>
        <w:t>所有技术功能成功上线，项目通过验收</w:t>
      </w:r>
      <w:r>
        <w:rPr>
          <w:rFonts w:hint="eastAsia" w:ascii="仿宋" w:hAnsi="仿宋" w:eastAsia="仿宋" w:cs="仿宋"/>
          <w:spacing w:val="-4"/>
          <w:sz w:val="32"/>
          <w:szCs w:val="32"/>
        </w:rPr>
        <w:t>后，成交供应商按照采购人要求申请付款，采购人向成交供应商支付合同总价款的剩余款项，即合同总价款的</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0%。</w:t>
      </w:r>
    </w:p>
    <w:p>
      <w:pPr>
        <w:keepNext w:val="0"/>
        <w:keepLines w:val="0"/>
        <w:pageBreakBefore w:val="0"/>
        <w:widowControl w:val="0"/>
        <w:kinsoku/>
        <w:wordWrap/>
        <w:overflowPunct/>
        <w:topLinePunct w:val="0"/>
        <w:autoSpaceDE/>
        <w:autoSpaceDN/>
        <w:bidi w:val="0"/>
        <w:adjustRightInd/>
        <w:snapToGrid w:val="0"/>
        <w:spacing w:line="579" w:lineRule="exact"/>
        <w:ind w:left="0" w:leftChars="0" w:firstLine="624" w:firstLineChars="200"/>
        <w:textAlignment w:val="auto"/>
        <w:rPr>
          <w:b/>
          <w:bCs/>
          <w:sz w:val="32"/>
          <w:szCs w:val="32"/>
        </w:rPr>
      </w:pPr>
      <w:r>
        <w:rPr>
          <w:rFonts w:hint="eastAsia" w:ascii="仿宋" w:hAnsi="仿宋" w:eastAsia="仿宋" w:cs="仿宋"/>
          <w:spacing w:val="-4"/>
          <w:sz w:val="32"/>
          <w:szCs w:val="32"/>
        </w:rPr>
        <w:t>注: 每次支付款时，成交供应商向采购人提供相应金额的正式发票。</w:t>
      </w:r>
    </w:p>
    <w:p>
      <w:pPr>
        <w:keepNext w:val="0"/>
        <w:keepLines w:val="0"/>
        <w:pageBreakBefore w:val="0"/>
        <w:widowControl w:val="0"/>
        <w:kinsoku/>
        <w:wordWrap/>
        <w:overflowPunct/>
        <w:topLinePunct w:val="0"/>
        <w:autoSpaceDE/>
        <w:autoSpaceDN/>
        <w:bidi w:val="0"/>
        <w:adjustRightInd/>
        <w:spacing w:line="579" w:lineRule="exact"/>
        <w:ind w:left="0" w:leftChars="0"/>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79" w:lineRule="exact"/>
        <w:ind w:left="0" w:leftChars="0"/>
        <w:jc w:val="lef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79" w:lineRule="exact"/>
        <w:ind w:left="2874" w:leftChars="1216" w:hanging="320" w:hanging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横琴粤澳深度合作区城市规划和建设局</w:t>
      </w:r>
    </w:p>
    <w:p>
      <w:pPr>
        <w:keepNext w:val="0"/>
        <w:keepLines w:val="0"/>
        <w:pageBreakBefore w:val="0"/>
        <w:widowControl w:val="0"/>
        <w:kinsoku/>
        <w:wordWrap/>
        <w:overflowPunct/>
        <w:topLinePunct w:val="0"/>
        <w:autoSpaceDE/>
        <w:autoSpaceDN/>
        <w:bidi w:val="0"/>
        <w:adjustRightInd/>
        <w:spacing w:line="579" w:lineRule="exact"/>
        <w:ind w:left="1277" w:leftChars="608" w:firstLine="2880" w:firstLineChars="9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p>
    <w:p>
      <w:pPr>
        <w:pStyle w:val="18"/>
        <w:keepNext w:val="0"/>
        <w:keepLines w:val="0"/>
        <w:pageBreakBefore w:val="0"/>
        <w:widowControl w:val="0"/>
        <w:kinsoku/>
        <w:wordWrap/>
        <w:overflowPunct/>
        <w:topLinePunct w:val="0"/>
        <w:autoSpaceDE/>
        <w:autoSpaceDN/>
        <w:bidi w:val="0"/>
        <w:adjustRightInd/>
        <w:spacing w:after="0" w:line="579" w:lineRule="exact"/>
        <w:ind w:left="0" w:leftChars="0"/>
        <w:textAlignment w:val="auto"/>
        <w:rPr>
          <w:rFonts w:hint="eastAsia" w:ascii="仿宋_GB2312" w:hAnsi="仿宋_GB2312" w:eastAsia="仿宋_GB2312" w:cs="仿宋_GB2312"/>
          <w:sz w:val="32"/>
          <w:szCs w:val="32"/>
          <w:highlight w:val="none"/>
        </w:rPr>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pPr>
    </w:p>
    <w:p>
      <w:pPr>
        <w:pStyle w:val="3"/>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eastAsia="zh-CN"/>
        </w:rPr>
        <w:t>附件</w:t>
      </w:r>
      <w:r>
        <w:rPr>
          <w:rFonts w:hint="eastAsia" w:ascii="黑体" w:hAnsi="黑体" w:eastAsia="黑体" w:cs="黑体"/>
          <w:b w:val="0"/>
          <w:bCs/>
          <w:lang w:val="en-US" w:eastAsia="zh-CN"/>
        </w:rPr>
        <w:t xml:space="preserve">1 </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sz w:val="40"/>
          <w:szCs w:val="40"/>
          <w:lang w:eastAsia="zh-CN"/>
        </w:rPr>
      </w:pPr>
      <w:r>
        <w:rPr>
          <w:rFonts w:hint="eastAsia" w:ascii="方正小标宋简体" w:hAnsi="方正小标宋简体" w:eastAsia="方正小标宋简体" w:cs="方正小标宋简体"/>
          <w:b w:val="0"/>
          <w:bCs/>
          <w:sz w:val="40"/>
          <w:szCs w:val="40"/>
          <w:lang w:eastAsia="zh-CN"/>
        </w:rPr>
        <w:t>横琴粤澳深度合作区</w:t>
      </w:r>
      <w:r>
        <w:rPr>
          <w:rFonts w:hint="eastAsia" w:ascii="方正小标宋简体" w:hAnsi="方正小标宋简体" w:eastAsia="方正小标宋简体" w:cs="方正小标宋简体"/>
          <w:b w:val="0"/>
          <w:bCs/>
          <w:sz w:val="40"/>
          <w:szCs w:val="40"/>
          <w:lang w:val="en-US" w:eastAsia="zh-CN"/>
        </w:rPr>
        <w:t>城市规划和建</w:t>
      </w:r>
      <w:bookmarkStart w:id="3" w:name="_GoBack"/>
      <w:bookmarkEnd w:id="3"/>
      <w:r>
        <w:rPr>
          <w:rFonts w:hint="eastAsia" w:ascii="方正小标宋简体" w:hAnsi="方正小标宋简体" w:eastAsia="方正小标宋简体" w:cs="方正小标宋简体"/>
          <w:b w:val="0"/>
          <w:bCs/>
          <w:sz w:val="40"/>
          <w:szCs w:val="40"/>
          <w:lang w:val="en-US" w:eastAsia="zh-CN"/>
        </w:rPr>
        <w:t>设局智能网联汽车监管运营平台（二期）软件开发</w:t>
      </w:r>
      <w:r>
        <w:rPr>
          <w:rFonts w:hint="eastAsia" w:ascii="方正小标宋简体" w:hAnsi="方正小标宋简体" w:eastAsia="方正小标宋简体" w:cs="方正小标宋简体"/>
          <w:b w:val="0"/>
          <w:bCs/>
          <w:sz w:val="40"/>
          <w:szCs w:val="40"/>
          <w:lang w:eastAsia="zh-CN"/>
        </w:rPr>
        <w:t>功能详情</w:t>
      </w:r>
    </w:p>
    <w:p>
      <w:pPr>
        <w:rPr>
          <w:rFonts w:hint="eastAsia"/>
        </w:rPr>
      </w:pPr>
    </w:p>
    <w:tbl>
      <w:tblPr>
        <w:tblStyle w:val="19"/>
        <w:tblW w:w="8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03"/>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60" w:hRule="atLeast"/>
          <w:tblHeader/>
          <w:jc w:val="center"/>
        </w:trPr>
        <w:tc>
          <w:tcPr>
            <w:tcW w:w="2503" w:type="dxa"/>
            <w:shd w:val="clear" w:color="auto" w:fill="BEBEBE" w:themeFill="background1" w:themeFillShade="BF"/>
            <w:noWrap/>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i w:val="0"/>
                <w:iCs w:val="0"/>
                <w:strike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strike w:val="0"/>
                <w:dstrike w:val="0"/>
                <w:color w:val="auto"/>
                <w:kern w:val="0"/>
                <w:sz w:val="24"/>
                <w:szCs w:val="24"/>
                <w:highlight w:val="none"/>
                <w:u w:val="none"/>
                <w:shd w:val="clear" w:color="auto" w:fill="auto"/>
                <w:lang w:val="en-US" w:eastAsia="zh-CN" w:bidi="ar"/>
              </w:rPr>
              <w:t>功能</w:t>
            </w:r>
          </w:p>
        </w:tc>
        <w:tc>
          <w:tcPr>
            <w:tcW w:w="6434" w:type="dxa"/>
            <w:shd w:val="clear" w:color="auto" w:fill="BEBEBE" w:themeFill="background1" w:themeFillShade="BF"/>
            <w:noWrap/>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i w:val="0"/>
                <w:iCs w:val="0"/>
                <w:strike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strike w:val="0"/>
                <w:dstrike w:val="0"/>
                <w:color w:val="auto"/>
                <w:kern w:val="0"/>
                <w:sz w:val="24"/>
                <w:szCs w:val="24"/>
                <w:highlight w:val="none"/>
                <w:u w:val="none"/>
                <w:shd w:val="clear" w:color="auto" w:fill="auto"/>
                <w:lang w:val="en-US" w:eastAsia="zh-CN" w:bidi="ar"/>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Robobus商业化运营管理</w:t>
            </w:r>
          </w:p>
        </w:tc>
        <w:tc>
          <w:tcPr>
            <w:tcW w:w="6434" w:type="dxa"/>
            <w:shd w:val="clear" w:color="auto" w:fill="auto"/>
            <w:vAlign w:val="center"/>
          </w:tcPr>
          <w:p>
            <w:pPr>
              <w:pStyle w:val="8"/>
              <w:pageBreakBefore w:val="0"/>
              <w:numPr>
                <w:ilvl w:val="0"/>
                <w:numId w:val="0"/>
              </w:numPr>
              <w:shd w:val="clear"/>
              <w:wordWrap/>
              <w:overflowPunct/>
              <w:topLinePunct w:val="0"/>
              <w:autoSpaceDE w:val="0"/>
              <w:autoSpaceDN w:val="0"/>
              <w:bidi w:val="0"/>
              <w:snapToGrid w:val="0"/>
              <w:spacing w:beforeAutospacing="0" w:afterAutospacing="0" w:line="240" w:lineRule="auto"/>
              <w:ind w:left="0" w:leftChars="0" w:right="0" w:rightChars="0" w:firstLine="0" w:firstLineChars="0"/>
              <w:jc w:val="both"/>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车载终端收费设备管理、实现银联商务多渠道支付对接、发票管理、商业化运营统计报表功能完善。</w:t>
            </w:r>
          </w:p>
          <w:p>
            <w:pPr>
              <w:pStyle w:val="8"/>
              <w:pageBreakBefore w:val="0"/>
              <w:numPr>
                <w:ilvl w:val="0"/>
                <w:numId w:val="0"/>
              </w:numPr>
              <w:shd w:val="clear"/>
              <w:wordWrap/>
              <w:overflowPunct/>
              <w:topLinePunct w:val="0"/>
              <w:autoSpaceDE w:val="0"/>
              <w:autoSpaceDN w:val="0"/>
              <w:bidi w:val="0"/>
              <w:snapToGrid w:val="0"/>
              <w:spacing w:beforeAutospacing="0" w:afterAutospacing="0" w:line="240" w:lineRule="auto"/>
              <w:ind w:left="0" w:leftChars="0" w:right="0" w:rightChars="0" w:firstLine="0" w:firstLineChars="0"/>
              <w:jc w:val="both"/>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车载终端设备管理：</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构建车载终端（银联收款机）设备管理体系，实现终端与车辆绑定关联，支持设备全生命周期管理（添加、修改、删除、详情、导出），确保支付数据精准归集至对应车辆。</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br w:type="textWrapping"/>
            </w: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交易订单流水记录：</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对接银联商务多渠道支付接口（微信、支付宝、云闪付、MPay、银行卡），实时同步交易订单与财务流水，支持订单查询与对账。</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br w:type="textWrapping"/>
            </w: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开票管理：</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在“琴智行”小程序端提供发票申请入口，支持用户填写开票信息（抬头、税号、邮箱等），后台管理人员可审核、开具并发送电子发票；用户可查询申请状态。</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br w:type="textWrapping"/>
            </w: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商业化运营统计报表：</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在平台首页看板以图表（折线图、扇形图等）展示交易笔数、票据销售额、退款金额、累计运行数据等关键指标，支持按本日/本周/本月/本年及自定义时间范围查询。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支撑新车型接入对接</w:t>
            </w:r>
          </w:p>
        </w:tc>
        <w:tc>
          <w:tcPr>
            <w:tcW w:w="6434" w:type="dxa"/>
            <w:shd w:val="clear" w:color="auto" w:fill="auto"/>
            <w:vAlign w:val="center"/>
          </w:tcPr>
          <w:p>
            <w:pPr>
              <w:pStyle w:val="8"/>
              <w:pageBreakBefore w:val="0"/>
              <w:numPr>
                <w:ilvl w:val="0"/>
                <w:numId w:val="0"/>
              </w:numPr>
              <w:shd w:val="clear"/>
              <w:wordWrap/>
              <w:overflowPunct/>
              <w:topLinePunct w:val="0"/>
              <w:autoSpaceDE w:val="0"/>
              <w:autoSpaceDN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将包括对Robotaxi的监管、运行数据接入，以及订单及累计运行数据统计。同时，将开发物流车监管功能和车载摄像头对接。</w:t>
            </w:r>
          </w:p>
          <w:p>
            <w:pPr>
              <w:pStyle w:val="8"/>
              <w:pageBreakBefore w:val="0"/>
              <w:numPr>
                <w:ilvl w:val="0"/>
                <w:numId w:val="0"/>
              </w:numPr>
              <w:shd w:val="clear"/>
              <w:wordWrap/>
              <w:overflowPunct/>
              <w:topLinePunct w:val="0"/>
              <w:autoSpaceDE w:val="0"/>
              <w:autoSpaceDN w:val="0"/>
              <w:bidi w:val="0"/>
              <w:snapToGrid w:val="0"/>
              <w:spacing w:beforeAutospacing="0" w:afterAutospacing="0" w:line="240" w:lineRule="auto"/>
              <w:ind w:left="0" w:leftChars="0" w:right="0" w:rightChars="0" w:firstLine="0" w:firstLineChars="0"/>
              <w:jc w:val="left"/>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Robotaxi订单管理</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：接入Robotaxi车辆订单数据（订单编号、起终点、行程时间、状态、费用等），支持订单查询与统计分析；采用加密传输（SM2）确保数据安全。</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br w:type="textWrapping"/>
            </w: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物流车车载摄像头接入</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：通过RTMP协议接入物流车车载摄像头视频流，支持车辆列表查询、通道选择、实时视频播放，实现物流车运行监管。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安全员异常行为监管</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通过接入车载摄像头视频流及AI分析数据，实现对安全员行为的智能监管与闭环处置。</w:t>
            </w:r>
          </w:p>
          <w:p>
            <w:pPr>
              <w:keepNext w:val="0"/>
              <w:keepLines w:val="0"/>
              <w:widowControl w:val="0"/>
              <w:numPr>
                <w:ilvl w:val="0"/>
                <w:numId w:val="1"/>
              </w:numPr>
              <w:suppressLineNumbers w:val="0"/>
              <w:shd w:val="clear"/>
              <w:tabs>
                <w:tab w:val="left" w:pos="312"/>
              </w:tabs>
              <w:kinsoku/>
              <w:autoSpaceDE/>
              <w:autoSpaceDN/>
              <w:adjustRightInd/>
              <w:snapToGrid w:val="0"/>
              <w:spacing w:line="240" w:lineRule="auto"/>
              <w:ind w:left="0" w:leftChars="0" w:right="0" w:rightChars="0" w:firstLine="482" w:firstLineChars="200"/>
              <w:jc w:val="both"/>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数据接入</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：对接车载智能终端，实时接收视频流及异常行为告警数据。</w:t>
            </w:r>
          </w:p>
          <w:p>
            <w:pPr>
              <w:keepNext w:val="0"/>
              <w:keepLines w:val="0"/>
              <w:widowControl w:val="0"/>
              <w:numPr>
                <w:ilvl w:val="0"/>
                <w:numId w:val="1"/>
              </w:numPr>
              <w:suppressLineNumbers w:val="0"/>
              <w:shd w:val="clear"/>
              <w:tabs>
                <w:tab w:val="left" w:pos="312"/>
              </w:tabs>
              <w:kinsoku/>
              <w:autoSpaceDE/>
              <w:autoSpaceDN/>
              <w:adjustRightInd/>
              <w:snapToGrid w:val="0"/>
              <w:spacing w:line="240" w:lineRule="auto"/>
              <w:ind w:left="0" w:leftChars="0" w:right="0" w:rightChars="0" w:firstLine="482" w:firstLineChars="200"/>
              <w:jc w:val="both"/>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实时预警</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：接收到生理疲劳（闭眼/打哈欠）、分心驾驶（长时间不目视前方）、违规操作（接打电话、玩手机、抽烟）等告警后，平台即时生成预警记录。</w:t>
            </w:r>
          </w:p>
          <w:p>
            <w:pPr>
              <w:keepNext w:val="0"/>
              <w:keepLines w:val="0"/>
              <w:widowControl w:val="0"/>
              <w:numPr>
                <w:ilvl w:val="0"/>
                <w:numId w:val="1"/>
              </w:numPr>
              <w:suppressLineNumbers w:val="0"/>
              <w:shd w:val="clear"/>
              <w:tabs>
                <w:tab w:val="left" w:pos="312"/>
              </w:tabs>
              <w:kinsoku/>
              <w:autoSpaceDE/>
              <w:autoSpaceDN/>
              <w:adjustRightInd/>
              <w:snapToGrid w:val="0"/>
              <w:spacing w:line="240" w:lineRule="auto"/>
              <w:ind w:left="0" w:leftChars="0" w:right="0" w:rightChars="0" w:firstLine="482" w:firstLineChars="200"/>
              <w:jc w:val="both"/>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通知配置</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：支持按告警级别、类型自定义策略，通过短信等方式实时通知管理人员，确保及时跟进处理。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车辆线路偏离预警管理</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实现车辆固定线路管理，对车辆偏离线路运行进行预警，以提供对自动驾驶汽车的监管。</w:t>
            </w:r>
          </w:p>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支持在地图上绘制车辆固定运行线路（单车路线），车辆运行中实时探测位置，计算与线路的最小偏离距离，当距离超过阈值（200米）时触发预警，通过平台及短信通知监管人员。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新增运营功能</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通过题库与检查表模版动态建立安全员巡检题目。安全员在小程序端根据不同的检查表模版提交当日的检查数据，运营监管人员通过代办提醒对安全员填报的检查表进行批复。</w:t>
            </w:r>
          </w:p>
          <w:p>
            <w:pPr>
              <w:keepNext w:val="0"/>
              <w:keepLines w:val="0"/>
              <w:widowControl w:val="0"/>
              <w:numPr>
                <w:ilvl w:val="0"/>
                <w:numId w:val="2"/>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题库与模板管理：</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支持运营人员录入题目（单选/多选/问答），组合创建检查表模板，并分配给不同安全员。</w:t>
            </w:r>
          </w:p>
          <w:p>
            <w:pPr>
              <w:keepNext w:val="0"/>
              <w:keepLines w:val="0"/>
              <w:widowControl w:val="0"/>
              <w:numPr>
                <w:ilvl w:val="0"/>
                <w:numId w:val="2"/>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安全员小程序端填报</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：安全员登录小程序后查看检查表，按模板逐项填写并提交。</w:t>
            </w:r>
          </w:p>
          <w:p>
            <w:pPr>
              <w:keepNext w:val="0"/>
              <w:keepLines w:val="0"/>
              <w:widowControl w:val="0"/>
              <w:numPr>
                <w:ilvl w:val="0"/>
                <w:numId w:val="2"/>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监管批复：</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运营监管人员收到代办提醒，对检查表进行批复（通过/不通过及意见），结果反馈至安全员。</w:t>
            </w:r>
          </w:p>
          <w:p>
            <w:pPr>
              <w:keepNext w:val="0"/>
              <w:keepLines w:val="0"/>
              <w:widowControl w:val="0"/>
              <w:numPr>
                <w:ilvl w:val="0"/>
                <w:numId w:val="2"/>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用户乘车调查问卷：</w:t>
            </w: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基于题库配置问卷，用户在扫码签到成功后弹出，收集乘车感受与支付习惯，数据用于服务质量分析</w:t>
            </w:r>
            <w:r>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展厅4K大屏适配开发</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针对展厅4K屏幕重新设计监管大屏界面，优化布局与可视化效果，确保高清显示。适配4K屏幕重新开发监管大屏，根据展厅要求扩展桌面应用程序与调整相关资源权限控制。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车辆一车一档管理</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bCs/>
                <w:i w:val="0"/>
                <w:iCs w:val="0"/>
                <w:color w:val="auto"/>
                <w:kern w:val="0"/>
                <w:sz w:val="24"/>
                <w:szCs w:val="24"/>
                <w:highlight w:val="none"/>
                <w:u w:val="none"/>
                <w:shd w:val="clear" w:color="auto" w:fill="auto"/>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建立车辆信息档案，包括：车辆保险（保险公司、保单号、起止日期）、封闭场测试报告（上传文档、测试日期、机构）、安全性自我声明（声明内容、有效期）。系统自动跟踪档案有效期，提前通过短信提醒车企人员更新。权限控制确保车企人员仅能修改指定档案，监管人员可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03"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pPr>
            <w:r>
              <w:rPr>
                <w:rFonts w:hint="eastAsia" w:asciiTheme="minorEastAsia" w:hAnsiTheme="minorEastAsia" w:eastAsiaTheme="minorEastAsia" w:cstheme="minorEastAsia"/>
                <w:i w:val="0"/>
                <w:iCs w:val="0"/>
                <w:color w:val="auto"/>
                <w:sz w:val="24"/>
                <w:szCs w:val="24"/>
                <w:highlight w:val="none"/>
                <w:u w:val="none"/>
                <w:shd w:val="clear" w:color="auto" w:fill="auto"/>
                <w:lang w:val="en-US" w:eastAsia="zh-CN" w:bidi="ar"/>
              </w:rPr>
              <w:t>资源权限控制优化</w:t>
            </w:r>
          </w:p>
        </w:tc>
        <w:tc>
          <w:tcPr>
            <w:tcW w:w="6434" w:type="dxa"/>
            <w:shd w:val="clear" w:color="auto" w:fill="auto"/>
            <w:vAlign w:val="center"/>
          </w:tcPr>
          <w:p>
            <w:pPr>
              <w:keepNext w:val="0"/>
              <w:keepLines w:val="0"/>
              <w:widowControl w:val="0"/>
              <w:numPr>
                <w:ilvl w:val="0"/>
                <w:numId w:val="0"/>
              </w:numPr>
              <w:suppressLineNumbers w:val="0"/>
              <w:shd w:val="clear"/>
              <w:tabs>
                <w:tab w:val="left" w:pos="312"/>
              </w:tabs>
              <w:kinsoku/>
              <w:autoSpaceDE/>
              <w:autoSpaceDN/>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i w:val="0"/>
                <w:iCs w:val="0"/>
                <w:color w:val="auto"/>
                <w:sz w:val="24"/>
                <w:szCs w:val="24"/>
                <w:highlight w:val="none"/>
                <w:u w:val="none"/>
                <w:shd w:val="clear" w:color="auto" w:fill="auto"/>
                <w:lang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shd w:val="clear" w:color="auto" w:fill="auto"/>
                <w:lang w:val="en-US" w:eastAsia="zh-CN" w:bidi="ar"/>
              </w:rPr>
              <w:t>在现有RBAC权限体系基础上，增加对车辆监控视频、订单数据等的细粒度权限配置，支持根据不同角色（如外部单位、内部监管）屏蔽或开放部分车辆的视频流及数据查看权限。</w:t>
            </w:r>
          </w:p>
        </w:tc>
      </w:tr>
    </w:tbl>
    <w:p>
      <w:pPr>
        <w:pStyle w:val="18"/>
        <w:ind w:left="0" w:leftChars="0" w:firstLine="0" w:firstLineChars="0"/>
      </w:pPr>
    </w:p>
    <w:sectPr>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750F42-667D-4A3C-9301-60E35A99F1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63F5B62-5913-4F33-B7F2-CA06ED8469E7}"/>
  </w:font>
  <w:font w:name="仿宋">
    <w:panose1 w:val="02010609060101010101"/>
    <w:charset w:val="86"/>
    <w:family w:val="auto"/>
    <w:pitch w:val="default"/>
    <w:sig w:usb0="800002BF" w:usb1="38CF7CFA" w:usb2="00000016" w:usb3="00000000" w:csb0="00040001" w:csb1="00000000"/>
    <w:embedRegular r:id="rId3" w:fontKey="{16942B52-5376-4B0B-9B01-99CF13614B5F}"/>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C79F3765-5E53-4B11-B7B2-30DF53A05A0D}"/>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5" w:fontKey="{7CD30852-41E5-4018-872D-383CBCB925E3}"/>
  </w:font>
  <w:font w:name="PMingLiU">
    <w:panose1 w:val="02020500000000000000"/>
    <w:charset w:val="88"/>
    <w:family w:val="auto"/>
    <w:pitch w:val="default"/>
    <w:sig w:usb0="A00002FF" w:usb1="28CFFCFA" w:usb2="00000016" w:usb3="00000000" w:csb0="00100001" w:csb1="00000000"/>
    <w:embedRegular r:id="rId6" w:fontKey="{E24F1CEF-3602-40D2-84F9-D80F291F3F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Fonts w:ascii="宋体" w:hAnsi="宋体"/>
        <w:sz w:val="24"/>
        <w:szCs w:val="24"/>
      </w:rPr>
    </w:pPr>
    <w:r>
      <w:rPr>
        <w:rFonts w:ascii="宋体" w:hAnsi="宋体"/>
        <w:sz w:val="24"/>
        <w:szCs w:val="24"/>
      </w:rPr>
      <w:fldChar w:fldCharType="begin"/>
    </w:r>
    <w:r>
      <w:rPr>
        <w:rStyle w:val="22"/>
        <w:rFonts w:ascii="宋体" w:hAnsi="宋体"/>
        <w:sz w:val="24"/>
        <w:szCs w:val="24"/>
      </w:rPr>
      <w:instrText xml:space="preserve">PAGE  </w:instrText>
    </w:r>
    <w:r>
      <w:rPr>
        <w:rFonts w:ascii="宋体" w:hAnsi="宋体"/>
        <w:sz w:val="24"/>
        <w:szCs w:val="24"/>
      </w:rPr>
      <w:fldChar w:fldCharType="separate"/>
    </w:r>
    <w:r>
      <w:rPr>
        <w:rStyle w:val="22"/>
        <w:rFonts w:ascii="宋体" w:hAnsi="宋体"/>
        <w:sz w:val="24"/>
        <w:szCs w:val="24"/>
      </w:rPr>
      <w:t>- 5 -</w:t>
    </w:r>
    <w:r>
      <w:rPr>
        <w:rFonts w:ascii="宋体" w:hAnsi="宋体"/>
        <w:sz w:val="24"/>
        <w:szCs w:val="24"/>
      </w:rP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Fonts w:ascii="宋体" w:hAnsi="宋体"/>
        <w:sz w:val="24"/>
        <w:szCs w:val="24"/>
      </w:rPr>
    </w:pPr>
    <w:r>
      <w:rPr>
        <w:rFonts w:ascii="宋体" w:hAnsi="宋体"/>
        <w:sz w:val="24"/>
        <w:szCs w:val="24"/>
      </w:rPr>
      <w:fldChar w:fldCharType="begin"/>
    </w:r>
    <w:r>
      <w:rPr>
        <w:rStyle w:val="22"/>
        <w:rFonts w:ascii="宋体" w:hAnsi="宋体"/>
        <w:sz w:val="24"/>
        <w:szCs w:val="24"/>
      </w:rPr>
      <w:instrText xml:space="preserve">PAGE  </w:instrText>
    </w:r>
    <w:r>
      <w:rPr>
        <w:rFonts w:ascii="宋体" w:hAnsi="宋体"/>
        <w:sz w:val="24"/>
        <w:szCs w:val="24"/>
      </w:rPr>
      <w:fldChar w:fldCharType="separate"/>
    </w:r>
    <w:r>
      <w:rPr>
        <w:rStyle w:val="22"/>
        <w:rFonts w:ascii="宋体" w:hAnsi="宋体"/>
        <w:sz w:val="24"/>
        <w:szCs w:val="24"/>
      </w:rPr>
      <w:t>- 2 -</w:t>
    </w:r>
    <w:r>
      <w:rPr>
        <w:rFonts w:ascii="宋体" w:hAnsi="宋体"/>
        <w:sz w:val="24"/>
        <w:szCs w:val="24"/>
      </w:rPr>
      <w:fldChar w:fldCharType="end"/>
    </w:r>
  </w:p>
  <w:p>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7B804"/>
    <w:multiLevelType w:val="singleLevel"/>
    <w:tmpl w:val="DE77B804"/>
    <w:lvl w:ilvl="0" w:tentative="0">
      <w:start w:val="1"/>
      <w:numFmt w:val="decimal"/>
      <w:suff w:val="nothing"/>
      <w:lvlText w:val="%1．"/>
      <w:lvlJc w:val="left"/>
      <w:pPr>
        <w:ind w:left="0" w:firstLine="400"/>
      </w:pPr>
      <w:rPr>
        <w:rFonts w:hint="default"/>
      </w:rPr>
    </w:lvl>
  </w:abstractNum>
  <w:abstractNum w:abstractNumId="1">
    <w:nsid w:val="07541AB7"/>
    <w:multiLevelType w:val="singleLevel"/>
    <w:tmpl w:val="07541AB7"/>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OGVlZWQyMjNmOGJjMjc4ZDFhOGM3NDg5Mjc0YjAifQ=="/>
  </w:docVars>
  <w:rsids>
    <w:rsidRoot w:val="00172A27"/>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159DD"/>
    <w:rsid w:val="00020B80"/>
    <w:rsid w:val="00020EBD"/>
    <w:rsid w:val="00022282"/>
    <w:rsid w:val="00023909"/>
    <w:rsid w:val="00023BF5"/>
    <w:rsid w:val="00023EF7"/>
    <w:rsid w:val="00024F9F"/>
    <w:rsid w:val="0002539B"/>
    <w:rsid w:val="00025B4B"/>
    <w:rsid w:val="0002612E"/>
    <w:rsid w:val="00030101"/>
    <w:rsid w:val="000322DD"/>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1BB7"/>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2A27"/>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298"/>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3862"/>
    <w:rsid w:val="002757DB"/>
    <w:rsid w:val="00276A34"/>
    <w:rsid w:val="0027787A"/>
    <w:rsid w:val="002800D7"/>
    <w:rsid w:val="002805C7"/>
    <w:rsid w:val="00280BDD"/>
    <w:rsid w:val="00284ADA"/>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4DA3"/>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97FEC"/>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10F0"/>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16838"/>
    <w:rsid w:val="0052081F"/>
    <w:rsid w:val="00525DEC"/>
    <w:rsid w:val="00526B57"/>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0CE1"/>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3B18"/>
    <w:rsid w:val="00624C4F"/>
    <w:rsid w:val="006279A4"/>
    <w:rsid w:val="00627B4C"/>
    <w:rsid w:val="00630901"/>
    <w:rsid w:val="006319F9"/>
    <w:rsid w:val="00632570"/>
    <w:rsid w:val="00632A92"/>
    <w:rsid w:val="006341B6"/>
    <w:rsid w:val="00634263"/>
    <w:rsid w:val="00634DEE"/>
    <w:rsid w:val="00636585"/>
    <w:rsid w:val="0063797E"/>
    <w:rsid w:val="00637F6C"/>
    <w:rsid w:val="00640972"/>
    <w:rsid w:val="00640C43"/>
    <w:rsid w:val="006420D1"/>
    <w:rsid w:val="00642282"/>
    <w:rsid w:val="006427EC"/>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0F3F"/>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87D"/>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35C"/>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5CF4"/>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67F6D"/>
    <w:rsid w:val="00870AC5"/>
    <w:rsid w:val="00871121"/>
    <w:rsid w:val="00871865"/>
    <w:rsid w:val="008723F2"/>
    <w:rsid w:val="00876FCE"/>
    <w:rsid w:val="008773EF"/>
    <w:rsid w:val="008776EA"/>
    <w:rsid w:val="00877D12"/>
    <w:rsid w:val="008809BB"/>
    <w:rsid w:val="00882D3F"/>
    <w:rsid w:val="00883858"/>
    <w:rsid w:val="00884DE5"/>
    <w:rsid w:val="008877D5"/>
    <w:rsid w:val="00887A18"/>
    <w:rsid w:val="00890643"/>
    <w:rsid w:val="00891C54"/>
    <w:rsid w:val="008921A9"/>
    <w:rsid w:val="00894EDC"/>
    <w:rsid w:val="00895134"/>
    <w:rsid w:val="00895258"/>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4727"/>
    <w:rsid w:val="00AC4CD9"/>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513"/>
    <w:rsid w:val="00B2077B"/>
    <w:rsid w:val="00B225BD"/>
    <w:rsid w:val="00B24300"/>
    <w:rsid w:val="00B24C8F"/>
    <w:rsid w:val="00B25C8A"/>
    <w:rsid w:val="00B25D04"/>
    <w:rsid w:val="00B2671B"/>
    <w:rsid w:val="00B3028B"/>
    <w:rsid w:val="00B32870"/>
    <w:rsid w:val="00B330C9"/>
    <w:rsid w:val="00B33A62"/>
    <w:rsid w:val="00B34C55"/>
    <w:rsid w:val="00B35D40"/>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6BE"/>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5A4"/>
    <w:rsid w:val="00BB2B3E"/>
    <w:rsid w:val="00BB328E"/>
    <w:rsid w:val="00BB40AD"/>
    <w:rsid w:val="00BB4155"/>
    <w:rsid w:val="00BB4B43"/>
    <w:rsid w:val="00BB586C"/>
    <w:rsid w:val="00BB5AD1"/>
    <w:rsid w:val="00BB5DED"/>
    <w:rsid w:val="00BB6A03"/>
    <w:rsid w:val="00BB6CEE"/>
    <w:rsid w:val="00BB7F7B"/>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705"/>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1FFB"/>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4F3F"/>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6DC"/>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45CA"/>
    <w:rsid w:val="00F2583D"/>
    <w:rsid w:val="00F25950"/>
    <w:rsid w:val="00F25C63"/>
    <w:rsid w:val="00F2634A"/>
    <w:rsid w:val="00F26414"/>
    <w:rsid w:val="00F26B18"/>
    <w:rsid w:val="00F26DF5"/>
    <w:rsid w:val="00F303D0"/>
    <w:rsid w:val="00F30A37"/>
    <w:rsid w:val="00F313B1"/>
    <w:rsid w:val="00F33B19"/>
    <w:rsid w:val="00F35152"/>
    <w:rsid w:val="00F3586B"/>
    <w:rsid w:val="00F3621E"/>
    <w:rsid w:val="00F36537"/>
    <w:rsid w:val="00F36C48"/>
    <w:rsid w:val="00F36CA8"/>
    <w:rsid w:val="00F36FB9"/>
    <w:rsid w:val="00F37422"/>
    <w:rsid w:val="00F37F81"/>
    <w:rsid w:val="00F416D2"/>
    <w:rsid w:val="00F42F34"/>
    <w:rsid w:val="00F432F7"/>
    <w:rsid w:val="00F43E54"/>
    <w:rsid w:val="00F444B2"/>
    <w:rsid w:val="00F4490D"/>
    <w:rsid w:val="00F44EA1"/>
    <w:rsid w:val="00F45A68"/>
    <w:rsid w:val="00F46EDB"/>
    <w:rsid w:val="00F47F08"/>
    <w:rsid w:val="00F504C0"/>
    <w:rsid w:val="00F52FF2"/>
    <w:rsid w:val="00F533A6"/>
    <w:rsid w:val="00F54567"/>
    <w:rsid w:val="00F54939"/>
    <w:rsid w:val="00F5553D"/>
    <w:rsid w:val="00F575E1"/>
    <w:rsid w:val="00F57A0D"/>
    <w:rsid w:val="00F61087"/>
    <w:rsid w:val="00F61DB2"/>
    <w:rsid w:val="00F622B5"/>
    <w:rsid w:val="00F62408"/>
    <w:rsid w:val="00F624CF"/>
    <w:rsid w:val="00F62E32"/>
    <w:rsid w:val="00F634DC"/>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254D0"/>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51E23"/>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E85014"/>
    <w:rsid w:val="07F03282"/>
    <w:rsid w:val="07FD3D8E"/>
    <w:rsid w:val="08003E79"/>
    <w:rsid w:val="08096E47"/>
    <w:rsid w:val="081C00FC"/>
    <w:rsid w:val="0825634E"/>
    <w:rsid w:val="08461C19"/>
    <w:rsid w:val="084F3510"/>
    <w:rsid w:val="0859605C"/>
    <w:rsid w:val="085977FC"/>
    <w:rsid w:val="086A47EF"/>
    <w:rsid w:val="08707BF8"/>
    <w:rsid w:val="08A62ED0"/>
    <w:rsid w:val="08D76A3D"/>
    <w:rsid w:val="08FF5461"/>
    <w:rsid w:val="09006B90"/>
    <w:rsid w:val="09101CB2"/>
    <w:rsid w:val="09186EF9"/>
    <w:rsid w:val="092A5E00"/>
    <w:rsid w:val="09330668"/>
    <w:rsid w:val="09363AA0"/>
    <w:rsid w:val="09634FDB"/>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B3CDD"/>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65497A"/>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DA7CF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24B4"/>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3F79FE"/>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A4A81"/>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03FB7"/>
    <w:rsid w:val="20C6178E"/>
    <w:rsid w:val="20F14F11"/>
    <w:rsid w:val="2101466E"/>
    <w:rsid w:val="21046A5A"/>
    <w:rsid w:val="210C2137"/>
    <w:rsid w:val="211C60E8"/>
    <w:rsid w:val="21224FD1"/>
    <w:rsid w:val="21502BF8"/>
    <w:rsid w:val="217F706F"/>
    <w:rsid w:val="218D1E77"/>
    <w:rsid w:val="21980AD9"/>
    <w:rsid w:val="21CA535E"/>
    <w:rsid w:val="21D41167"/>
    <w:rsid w:val="21F84A06"/>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AB54A5"/>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B040C"/>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575FE"/>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66E86"/>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6C0CA9"/>
    <w:rsid w:val="387B5ED2"/>
    <w:rsid w:val="3887538C"/>
    <w:rsid w:val="38992543"/>
    <w:rsid w:val="389F6C03"/>
    <w:rsid w:val="38A83DDB"/>
    <w:rsid w:val="38A85552"/>
    <w:rsid w:val="38C72C9D"/>
    <w:rsid w:val="38CB08F0"/>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07478D"/>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9375D5"/>
    <w:rsid w:val="3DAD159D"/>
    <w:rsid w:val="3DCE177F"/>
    <w:rsid w:val="3DD72484"/>
    <w:rsid w:val="3DE03BA2"/>
    <w:rsid w:val="3E0E4BB3"/>
    <w:rsid w:val="3E110E72"/>
    <w:rsid w:val="3E1E4AB4"/>
    <w:rsid w:val="3E240BBD"/>
    <w:rsid w:val="3E280328"/>
    <w:rsid w:val="3E2D4E04"/>
    <w:rsid w:val="3E365FB2"/>
    <w:rsid w:val="3E4F427B"/>
    <w:rsid w:val="3E5A30A0"/>
    <w:rsid w:val="3E5F1F21"/>
    <w:rsid w:val="3E8074D5"/>
    <w:rsid w:val="3E9212C9"/>
    <w:rsid w:val="3EA472ED"/>
    <w:rsid w:val="3EAF032B"/>
    <w:rsid w:val="3EC80A90"/>
    <w:rsid w:val="3ED01838"/>
    <w:rsid w:val="3ED862C8"/>
    <w:rsid w:val="3EDE5327"/>
    <w:rsid w:val="3EFA7719"/>
    <w:rsid w:val="3EFB6DF6"/>
    <w:rsid w:val="3EFF322F"/>
    <w:rsid w:val="3F107510"/>
    <w:rsid w:val="3F117FFE"/>
    <w:rsid w:val="3F244F34"/>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1F5D98"/>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00126F"/>
    <w:rsid w:val="42185B1F"/>
    <w:rsid w:val="4247230D"/>
    <w:rsid w:val="4250573E"/>
    <w:rsid w:val="425C1507"/>
    <w:rsid w:val="4267082D"/>
    <w:rsid w:val="4282729C"/>
    <w:rsid w:val="42937793"/>
    <w:rsid w:val="429A4785"/>
    <w:rsid w:val="429C40FF"/>
    <w:rsid w:val="42C13EED"/>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700E6"/>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512D4"/>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CA06F6"/>
    <w:rsid w:val="4DDC2B94"/>
    <w:rsid w:val="4DEB45C9"/>
    <w:rsid w:val="4E03482E"/>
    <w:rsid w:val="4E3801EE"/>
    <w:rsid w:val="4E454382"/>
    <w:rsid w:val="4E82001E"/>
    <w:rsid w:val="4E897590"/>
    <w:rsid w:val="4E8C7566"/>
    <w:rsid w:val="4E8D1ABD"/>
    <w:rsid w:val="4EA51842"/>
    <w:rsid w:val="4EA9701C"/>
    <w:rsid w:val="4EB722B3"/>
    <w:rsid w:val="4EBC595B"/>
    <w:rsid w:val="4ED6043B"/>
    <w:rsid w:val="4ED81777"/>
    <w:rsid w:val="4EE85625"/>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C74449"/>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AE20EA"/>
    <w:rsid w:val="52F12681"/>
    <w:rsid w:val="530E2425"/>
    <w:rsid w:val="53162448"/>
    <w:rsid w:val="531A3DB6"/>
    <w:rsid w:val="531F0A38"/>
    <w:rsid w:val="532E2384"/>
    <w:rsid w:val="53384589"/>
    <w:rsid w:val="533C78E6"/>
    <w:rsid w:val="53550BA3"/>
    <w:rsid w:val="53592DAC"/>
    <w:rsid w:val="535F7193"/>
    <w:rsid w:val="53693759"/>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946B4"/>
    <w:rsid w:val="560B674A"/>
    <w:rsid w:val="561044A5"/>
    <w:rsid w:val="561706D4"/>
    <w:rsid w:val="561766F0"/>
    <w:rsid w:val="56225DAA"/>
    <w:rsid w:val="5625777F"/>
    <w:rsid w:val="562A6730"/>
    <w:rsid w:val="563C42FC"/>
    <w:rsid w:val="56630034"/>
    <w:rsid w:val="566315B1"/>
    <w:rsid w:val="566845F8"/>
    <w:rsid w:val="5684380C"/>
    <w:rsid w:val="569638DC"/>
    <w:rsid w:val="56A84D77"/>
    <w:rsid w:val="56B532BD"/>
    <w:rsid w:val="56C03CB2"/>
    <w:rsid w:val="56C50A07"/>
    <w:rsid w:val="56F07657"/>
    <w:rsid w:val="56F23A83"/>
    <w:rsid w:val="57015702"/>
    <w:rsid w:val="570429AF"/>
    <w:rsid w:val="570A392B"/>
    <w:rsid w:val="573E4E86"/>
    <w:rsid w:val="576C3298"/>
    <w:rsid w:val="57744ED1"/>
    <w:rsid w:val="57876DF9"/>
    <w:rsid w:val="579C3E4C"/>
    <w:rsid w:val="57A505DE"/>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73CE3"/>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095E3A"/>
    <w:rsid w:val="5C305077"/>
    <w:rsid w:val="5C390BF5"/>
    <w:rsid w:val="5C3E0067"/>
    <w:rsid w:val="5C4A76D2"/>
    <w:rsid w:val="5C536D2D"/>
    <w:rsid w:val="5C5F76F1"/>
    <w:rsid w:val="5C9963D9"/>
    <w:rsid w:val="5C9B73AA"/>
    <w:rsid w:val="5CB9705F"/>
    <w:rsid w:val="5CE12DF3"/>
    <w:rsid w:val="5CED04CD"/>
    <w:rsid w:val="5D19618E"/>
    <w:rsid w:val="5D4B66F9"/>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D7DFB"/>
    <w:rsid w:val="5EBE69F2"/>
    <w:rsid w:val="5EC21376"/>
    <w:rsid w:val="5EDE67DE"/>
    <w:rsid w:val="5EFC14B2"/>
    <w:rsid w:val="5F2D706C"/>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BF5A24"/>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4D000E"/>
    <w:rsid w:val="64767C93"/>
    <w:rsid w:val="6483327B"/>
    <w:rsid w:val="649E5518"/>
    <w:rsid w:val="64A03DAF"/>
    <w:rsid w:val="64BB3453"/>
    <w:rsid w:val="64C61E9C"/>
    <w:rsid w:val="64D9182F"/>
    <w:rsid w:val="64DC7008"/>
    <w:rsid w:val="64F709EE"/>
    <w:rsid w:val="653438E9"/>
    <w:rsid w:val="653E31A1"/>
    <w:rsid w:val="65412CCA"/>
    <w:rsid w:val="65442AE4"/>
    <w:rsid w:val="6566236E"/>
    <w:rsid w:val="65700794"/>
    <w:rsid w:val="65752C9E"/>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B34CA1"/>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F352AE"/>
    <w:rsid w:val="67FE6675"/>
    <w:rsid w:val="685F3E09"/>
    <w:rsid w:val="68614E7E"/>
    <w:rsid w:val="687927BC"/>
    <w:rsid w:val="687A65E4"/>
    <w:rsid w:val="68B33DE8"/>
    <w:rsid w:val="68FE3B8C"/>
    <w:rsid w:val="69166546"/>
    <w:rsid w:val="69217AE5"/>
    <w:rsid w:val="692F323F"/>
    <w:rsid w:val="693A63CF"/>
    <w:rsid w:val="69493E89"/>
    <w:rsid w:val="69563878"/>
    <w:rsid w:val="69637259"/>
    <w:rsid w:val="69666073"/>
    <w:rsid w:val="697366F8"/>
    <w:rsid w:val="69776249"/>
    <w:rsid w:val="697D3521"/>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EF600D"/>
    <w:rsid w:val="6AFB0949"/>
    <w:rsid w:val="6AFF0939"/>
    <w:rsid w:val="6B0C4215"/>
    <w:rsid w:val="6B15362D"/>
    <w:rsid w:val="6B1B18B4"/>
    <w:rsid w:val="6B2111BF"/>
    <w:rsid w:val="6B316C06"/>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9111A8"/>
    <w:rsid w:val="6DA46816"/>
    <w:rsid w:val="6DA70ACF"/>
    <w:rsid w:val="6DBB1F79"/>
    <w:rsid w:val="6DDB461A"/>
    <w:rsid w:val="6DDD1E81"/>
    <w:rsid w:val="6DF525CF"/>
    <w:rsid w:val="6DF66533"/>
    <w:rsid w:val="6DFA4DAD"/>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EF6DD6"/>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D14CF7"/>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7B5679"/>
    <w:rsid w:val="788C54B4"/>
    <w:rsid w:val="78977353"/>
    <w:rsid w:val="78C61736"/>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AA7254"/>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27AE3"/>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E13E1"/>
    <w:rsid w:val="7F55274F"/>
    <w:rsid w:val="7F5877DF"/>
    <w:rsid w:val="7F675882"/>
    <w:rsid w:val="7F6E0A32"/>
    <w:rsid w:val="7F926436"/>
    <w:rsid w:val="7FBC153D"/>
    <w:rsid w:val="7FCF28BD"/>
    <w:rsid w:val="7FD971C9"/>
    <w:rsid w:val="7FE550FF"/>
    <w:rsid w:val="F5F9B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ind w:firstLine="596" w:firstLineChars="200"/>
      <w:outlineLvl w:val="0"/>
    </w:pPr>
    <w:rPr>
      <w:rFonts w:ascii="黑体" w:eastAsia="黑体"/>
      <w:b/>
      <w:sz w:val="32"/>
      <w:szCs w:val="22"/>
    </w:rPr>
  </w:style>
  <w:style w:type="paragraph" w:styleId="4">
    <w:name w:val="heading 2"/>
    <w:basedOn w:val="1"/>
    <w:next w:val="1"/>
    <w:link w:val="39"/>
    <w:unhideWhenUsed/>
    <w:qFormat/>
    <w:uiPriority w:val="0"/>
    <w:pPr>
      <w:ind w:firstLine="596" w:firstLineChars="200"/>
      <w:outlineLvl w:val="1"/>
    </w:pPr>
    <w:rPr>
      <w:rFonts w:ascii="楷体_GB2312" w:eastAsia="楷体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rPr>
  </w:style>
  <w:style w:type="paragraph" w:styleId="7">
    <w:name w:val="annotation text"/>
    <w:basedOn w:val="1"/>
    <w:semiHidden/>
    <w:qFormat/>
    <w:uiPriority w:val="0"/>
    <w:pPr>
      <w:jc w:val="left"/>
    </w:pPr>
    <w:rPr>
      <w:szCs w:val="20"/>
    </w:rPr>
  </w:style>
  <w:style w:type="paragraph" w:styleId="8">
    <w:name w:val="Body Text"/>
    <w:basedOn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2"/>
    <w:unhideWhenUsed/>
    <w:qFormat/>
    <w:uiPriority w:val="0"/>
    <w:pPr>
      <w:snapToGrid w:val="0"/>
      <w:jc w:val="left"/>
    </w:pPr>
    <w:rPr>
      <w:rFonts w:eastAsia="仿宋_GB2312"/>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8"/>
    <w:qFormat/>
    <w:uiPriority w:val="0"/>
    <w:pPr>
      <w:ind w:firstLine="420" w:firstLineChars="100"/>
    </w:pPr>
    <w:rPr>
      <w:rFonts w:ascii="宋体"/>
      <w:color w:val="00000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page number"/>
    <w:basedOn w:val="21"/>
    <w:qFormat/>
    <w:uiPriority w:val="0"/>
  </w:style>
  <w:style w:type="character" w:styleId="23">
    <w:name w:val="annotation reference"/>
    <w:basedOn w:val="21"/>
    <w:semiHidden/>
    <w:qFormat/>
    <w:uiPriority w:val="0"/>
    <w:rPr>
      <w:sz w:val="21"/>
      <w:szCs w:val="21"/>
    </w:rPr>
  </w:style>
  <w:style w:type="character" w:styleId="24">
    <w:name w:val="footnote reference"/>
    <w:unhideWhenUsed/>
    <w:qFormat/>
    <w:uiPriority w:val="0"/>
    <w:rPr>
      <w:vertAlign w:val="superscript"/>
    </w:rPr>
  </w:style>
  <w:style w:type="paragraph" w:styleId="25">
    <w:name w:val="List Paragraph"/>
    <w:basedOn w:val="1"/>
    <w:unhideWhenUsed/>
    <w:qFormat/>
    <w:uiPriority w:val="99"/>
    <w:pPr>
      <w:ind w:firstLine="420" w:firstLineChars="200"/>
    </w:pPr>
  </w:style>
  <w:style w:type="paragraph" w:customStyle="1" w:styleId="26">
    <w:name w:val="_Style 3"/>
    <w:basedOn w:val="1"/>
    <w:qFormat/>
    <w:uiPriority w:val="34"/>
    <w:pPr>
      <w:ind w:firstLine="420" w:firstLineChars="200"/>
    </w:pPr>
  </w:style>
  <w:style w:type="paragraph" w:customStyle="1" w:styleId="27">
    <w:name w:val="p0"/>
    <w:basedOn w:val="1"/>
    <w:qFormat/>
    <w:uiPriority w:val="0"/>
    <w:pPr>
      <w:widowControl/>
      <w:jc w:val="left"/>
    </w:pPr>
    <w:rPr>
      <w:kern w:val="0"/>
      <w:sz w:val="20"/>
      <w:szCs w:val="20"/>
    </w:rPr>
  </w:style>
  <w:style w:type="paragraph" w:customStyle="1" w:styleId="28">
    <w:name w:val="列出段落1"/>
    <w:basedOn w:val="1"/>
    <w:qFormat/>
    <w:uiPriority w:val="0"/>
    <w:pPr>
      <w:ind w:firstLine="420" w:firstLineChars="200"/>
    </w:pPr>
    <w:rPr>
      <w:rFonts w:ascii="Calibri" w:hAnsi="Calibri"/>
      <w:szCs w:val="22"/>
    </w:rPr>
  </w:style>
  <w:style w:type="paragraph" w:customStyle="1" w:styleId="29">
    <w:name w:val="默认段落字体 Para Char Char Char Char"/>
    <w:basedOn w:val="1"/>
    <w:qFormat/>
    <w:uiPriority w:val="0"/>
    <w:pPr>
      <w:adjustRightInd w:val="0"/>
      <w:spacing w:line="360" w:lineRule="auto"/>
    </w:pPr>
    <w:rPr>
      <w:szCs w:val="20"/>
    </w:rPr>
  </w:style>
  <w:style w:type="paragraph" w:customStyle="1" w:styleId="30">
    <w:name w:val="Char"/>
    <w:basedOn w:val="1"/>
    <w:qFormat/>
    <w:uiPriority w:val="0"/>
    <w:rPr>
      <w:szCs w:val="20"/>
    </w:rPr>
  </w:style>
  <w:style w:type="paragraph" w:customStyle="1" w:styleId="31">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2">
    <w:name w:val="Char1"/>
    <w:basedOn w:val="1"/>
    <w:qFormat/>
    <w:uiPriority w:val="0"/>
    <w:rPr>
      <w:rFonts w:ascii="Tahoma" w:hAnsi="Tahoma"/>
      <w:sz w:val="24"/>
      <w:szCs w:val="20"/>
    </w:rPr>
  </w:style>
  <w:style w:type="paragraph" w:customStyle="1" w:styleId="33">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4">
    <w:name w:val="Char Char Char1 Char1 Char Char Char"/>
    <w:basedOn w:val="1"/>
    <w:semiHidden/>
    <w:qFormat/>
    <w:uiPriority w:val="0"/>
  </w:style>
  <w:style w:type="paragraph" w:customStyle="1" w:styleId="35">
    <w:name w:val="样式2"/>
    <w:basedOn w:val="1"/>
    <w:qFormat/>
    <w:uiPriority w:val="0"/>
    <w:pPr>
      <w:jc w:val="center"/>
    </w:pPr>
    <w:rPr>
      <w:rFonts w:eastAsia="仿宋_GB2312"/>
      <w:b/>
      <w:bCs/>
      <w:sz w:val="44"/>
    </w:rPr>
  </w:style>
  <w:style w:type="paragraph" w:customStyle="1" w:styleId="36">
    <w:name w:val="1 Char Char Char Char Char Char Char"/>
    <w:basedOn w:val="1"/>
    <w:qFormat/>
    <w:uiPriority w:val="0"/>
  </w:style>
  <w:style w:type="paragraph" w:customStyle="1" w:styleId="37">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8">
    <w:name w:val="font01"/>
    <w:basedOn w:val="21"/>
    <w:qFormat/>
    <w:uiPriority w:val="0"/>
    <w:rPr>
      <w:rFonts w:hint="eastAsia" w:ascii="宋体" w:hAnsi="宋体" w:eastAsia="宋体" w:cs="宋体"/>
      <w:color w:val="333399"/>
      <w:sz w:val="24"/>
      <w:szCs w:val="24"/>
      <w:u w:val="none"/>
    </w:rPr>
  </w:style>
  <w:style w:type="character" w:customStyle="1" w:styleId="39">
    <w:name w:val="标题 2 Char"/>
    <w:link w:val="4"/>
    <w:qFormat/>
    <w:uiPriority w:val="0"/>
    <w:rPr>
      <w:rFonts w:ascii="楷体_GB2312" w:eastAsia="楷体_GB2312"/>
      <w:b/>
      <w:kern w:val="2"/>
      <w:sz w:val="32"/>
      <w:szCs w:val="22"/>
      <w:lang w:val="en-US" w:eastAsia="zh-CN" w:bidi="ar-SA"/>
    </w:rPr>
  </w:style>
  <w:style w:type="character" w:customStyle="1" w:styleId="40">
    <w:name w:val="font41"/>
    <w:basedOn w:val="21"/>
    <w:qFormat/>
    <w:uiPriority w:val="0"/>
    <w:rPr>
      <w:rFonts w:hint="eastAsia" w:ascii="宋体" w:hAnsi="宋体" w:eastAsia="宋体" w:cs="宋体"/>
      <w:color w:val="FF0000"/>
      <w:sz w:val="24"/>
      <w:szCs w:val="24"/>
      <w:u w:val="none"/>
    </w:rPr>
  </w:style>
  <w:style w:type="character" w:customStyle="1" w:styleId="41">
    <w:name w:val="article_f141"/>
    <w:basedOn w:val="21"/>
    <w:qFormat/>
    <w:uiPriority w:val="0"/>
    <w:rPr>
      <w:color w:val="000000"/>
      <w:sz w:val="21"/>
    </w:rPr>
  </w:style>
  <w:style w:type="character" w:customStyle="1" w:styleId="42">
    <w:name w:val="脚注文本 Char"/>
    <w:link w:val="16"/>
    <w:semiHidden/>
    <w:qFormat/>
    <w:uiPriority w:val="0"/>
    <w:rPr>
      <w:rFonts w:eastAsia="仿宋_GB2312"/>
      <w:kern w:val="2"/>
      <w:sz w:val="18"/>
      <w:szCs w:val="18"/>
      <w:lang w:val="en-US" w:eastAsia="zh-CN" w:bidi="ar-SA"/>
    </w:rPr>
  </w:style>
  <w:style w:type="character" w:customStyle="1" w:styleId="43">
    <w:name w:val="标题 1 Char"/>
    <w:link w:val="3"/>
    <w:qFormat/>
    <w:uiPriority w:val="0"/>
    <w:rPr>
      <w:rFonts w:ascii="黑体" w:eastAsia="黑体"/>
      <w:b/>
      <w:kern w:val="2"/>
      <w:sz w:val="32"/>
      <w:szCs w:val="22"/>
      <w:lang w:val="en-US" w:eastAsia="zh-CN" w:bidi="ar-SA"/>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muying\Library\Containers\com.kingsoft.wpsoffice.mac\Data\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6</Pages>
  <Words>2034</Words>
  <Characters>2115</Characters>
  <Lines>12</Lines>
  <Paragraphs>3</Paragraphs>
  <TotalTime>1</TotalTime>
  <ScaleCrop>false</ScaleCrop>
  <LinksUpToDate>false</LinksUpToDate>
  <CharactersWithSpaces>2131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2023-11-22T16:42:00Z</dcterms:created>
  <dc:creator>陈微:</dc:creator>
  <cp:lastModifiedBy>何幸容</cp:lastModifiedBy>
  <cp:lastPrinted>2023-12-28T09:02:00Z</cp:lastPrinted>
  <dcterms:modified xsi:type="dcterms:W3CDTF">2026-04-22T06:11:35Z</dcterms:modified>
  <dc:title>珠横新规国字〔2010〕20号                 签发人：王瑞森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E959BBF6B2334A7897050DE6E56FE8ED</vt:lpwstr>
  </property>
  <property fmtid="{D5CDD505-2E9C-101B-9397-08002B2CF9AE}" pid="4" name="KSOTemplateDocerSaveRecord">
    <vt:lpwstr>eyJoZGlkIjoiMmM0YTE2NzFkYWFlNTI1YjZjMTI2NDNjNGY0M2UyNzMiLCJ1c2VySWQiOiIzNDQzNjYxMDUifQ==</vt:lpwstr>
  </property>
</Properties>
</file>