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0" w:line="579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pStyle w:val="4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0"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横琴粤澳深度合作区城市规划和建设网联汽车监管运营平台（二期）项目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》</w:t>
      </w:r>
    </w:p>
    <w:p>
      <w:pPr>
        <w:pStyle w:val="4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0" w:line="579" w:lineRule="exact"/>
        <w:jc w:val="center"/>
        <w:textAlignment w:val="auto"/>
        <w:rPr>
          <w:rStyle w:val="1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Style w:val="1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评分细则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ascii="Calibri" w:hAnsi="Calibri" w:eastAsia="仿宋" w:cs="Times New Roman"/>
          <w:sz w:val="28"/>
          <w:szCs w:val="22"/>
        </w:rPr>
        <w:t>本项目采用综合评分法方法进行评审，具体评分细则详见综合评分表。</w:t>
      </w:r>
    </w:p>
    <w:tbl>
      <w:tblPr>
        <w:tblStyle w:val="12"/>
        <w:tblW w:w="8635" w:type="dxa"/>
        <w:jc w:val="center"/>
        <w:tblInd w:w="0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1172"/>
        <w:gridCol w:w="6922"/>
      </w:tblGrid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Header/>
          <w:jc w:val="center"/>
        </w:trPr>
        <w:tc>
          <w:tcPr>
            <w:tcW w:w="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序号</w:t>
            </w: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评审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项目</w:t>
            </w:r>
          </w:p>
        </w:tc>
        <w:tc>
          <w:tcPr>
            <w:tcW w:w="6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详细评分内容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一.技术部分（50分）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6" w:hRule="atLeast"/>
          <w:jc w:val="center"/>
        </w:trPr>
        <w:tc>
          <w:tcPr>
            <w:tcW w:w="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项目理解与需求分析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分）</w:t>
            </w:r>
          </w:p>
        </w:tc>
        <w:tc>
          <w:tcPr>
            <w:tcW w:w="6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972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根据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项目需求书中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的相关要求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对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提供的项目理解与需求分析进行评分</w:t>
            </w:r>
            <w:r>
              <w:rPr>
                <w:rFonts w:ascii="仿宋" w:hAnsi="仿宋" w:eastAsia="仿宋" w:cs="仿宋"/>
                <w:kern w:val="0"/>
                <w:sz w:val="24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该部分内容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包括但不限于本项目涉及的建设背景、项目目标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、建设现状、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存在的问题、建设的必要性及可行性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建设需求分析等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。</w:t>
            </w:r>
          </w:p>
          <w:p>
            <w:pPr>
              <w:tabs>
                <w:tab w:val="left" w:pos="972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理解与需求分析内容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准确、深刻</w:t>
            </w:r>
            <w:r>
              <w:rPr>
                <w:rFonts w:ascii="仿宋" w:hAnsi="仿宋" w:eastAsia="仿宋" w:cs="仿宋"/>
                <w:kern w:val="0"/>
                <w:sz w:val="24"/>
              </w:rPr>
              <w:t>，完全满足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或</w:t>
            </w:r>
            <w:r>
              <w:rPr>
                <w:rFonts w:ascii="仿宋" w:hAnsi="仿宋" w:eastAsia="仿宋" w:cs="仿宋"/>
                <w:kern w:val="0"/>
                <w:sz w:val="24"/>
              </w:rPr>
              <w:t>优于项目需求的得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15</w:t>
            </w:r>
            <w:r>
              <w:rPr>
                <w:rFonts w:ascii="仿宋" w:hAnsi="仿宋" w:eastAsia="仿宋" w:cs="仿宋"/>
                <w:kern w:val="0"/>
                <w:sz w:val="24"/>
              </w:rPr>
              <w:t>分；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</w:p>
          <w:p>
            <w:pPr>
              <w:tabs>
                <w:tab w:val="left" w:pos="972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理解与需求分析内容基本正确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，大部分</w:t>
            </w:r>
            <w:r>
              <w:rPr>
                <w:rFonts w:ascii="仿宋" w:hAnsi="仿宋" w:eastAsia="仿宋" w:cs="仿宋"/>
                <w:kern w:val="0"/>
                <w:sz w:val="24"/>
              </w:rPr>
              <w:t>满足项目需求的的得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10</w:t>
            </w:r>
            <w:r>
              <w:rPr>
                <w:rFonts w:ascii="仿宋" w:hAnsi="仿宋" w:eastAsia="仿宋" w:cs="仿宋"/>
                <w:kern w:val="0"/>
                <w:sz w:val="24"/>
              </w:rPr>
              <w:t>分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；</w:t>
            </w:r>
          </w:p>
          <w:p>
            <w:pPr>
              <w:tabs>
                <w:tab w:val="left" w:pos="972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理解与需求分析内容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一般，基本满足项目需求</w:t>
            </w:r>
            <w:r>
              <w:rPr>
                <w:rFonts w:ascii="仿宋" w:hAnsi="仿宋" w:eastAsia="仿宋" w:cs="仿宋"/>
                <w:kern w:val="0"/>
                <w:sz w:val="24"/>
              </w:rPr>
              <w:t>的得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6</w:t>
            </w:r>
            <w:r>
              <w:rPr>
                <w:rFonts w:ascii="仿宋" w:hAnsi="仿宋" w:eastAsia="仿宋" w:cs="仿宋"/>
                <w:kern w:val="0"/>
                <w:sz w:val="24"/>
              </w:rPr>
              <w:t>分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；</w:t>
            </w:r>
          </w:p>
          <w:p>
            <w:pPr>
              <w:tabs>
                <w:tab w:val="left" w:pos="972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理解与需求分析内容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不准确，不能完全满足项目需求</w:t>
            </w:r>
            <w:r>
              <w:rPr>
                <w:rFonts w:ascii="仿宋" w:hAnsi="仿宋" w:eastAsia="仿宋" w:cs="仿宋"/>
                <w:kern w:val="0"/>
                <w:sz w:val="24"/>
              </w:rPr>
              <w:t>的得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</w:t>
            </w:r>
            <w:r>
              <w:rPr>
                <w:rFonts w:ascii="仿宋" w:hAnsi="仿宋" w:eastAsia="仿宋" w:cs="仿宋"/>
                <w:kern w:val="0"/>
                <w:sz w:val="24"/>
              </w:rPr>
              <w:t>分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；</w:t>
            </w:r>
          </w:p>
          <w:p>
            <w:pPr>
              <w:tabs>
                <w:tab w:val="left" w:pos="972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未提供本项内容</w:t>
            </w:r>
            <w:r>
              <w:rPr>
                <w:rFonts w:ascii="仿宋" w:hAnsi="仿宋" w:eastAsia="仿宋" w:cs="仿宋"/>
                <w:kern w:val="0"/>
                <w:sz w:val="24"/>
              </w:rPr>
              <w:t>不得分。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0" w:hRule="atLeast"/>
          <w:jc w:val="center"/>
        </w:trPr>
        <w:tc>
          <w:tcPr>
            <w:tcW w:w="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2</w:t>
            </w: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技术方案（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15分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6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972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根据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项目需求书中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的相关要求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对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提供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的技术方案进行评分。该部分</w:t>
            </w:r>
            <w:r>
              <w:rPr>
                <w:rFonts w:hint="default" w:ascii="仿宋" w:hAnsi="仿宋" w:eastAsia="仿宋" w:cs="仿宋"/>
                <w:kern w:val="0"/>
                <w:sz w:val="24"/>
              </w:rPr>
              <w:t>包括但不限于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总体设计、前端功能实现方式、</w:t>
            </w:r>
            <w:r>
              <w:rPr>
                <w:rFonts w:hint="default" w:ascii="仿宋" w:hAnsi="仿宋" w:eastAsia="仿宋" w:cs="仿宋"/>
                <w:kern w:val="0"/>
                <w:sz w:val="24"/>
              </w:rPr>
              <w:t>后台管理等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。</w:t>
            </w:r>
          </w:p>
          <w:p>
            <w:pPr>
              <w:tabs>
                <w:tab w:val="left" w:pos="972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技术方案科学合理，切实可行，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完全满足或优于项目需求的得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分； </w:t>
            </w:r>
          </w:p>
          <w:p>
            <w:pPr>
              <w:tabs>
                <w:tab w:val="left" w:pos="972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技术方案</w:t>
            </w:r>
            <w:r>
              <w:rPr>
                <w:rFonts w:ascii="仿宋" w:hAnsi="仿宋" w:eastAsia="仿宋" w:cs="仿宋"/>
                <w:kern w:val="0"/>
                <w:sz w:val="24"/>
              </w:rPr>
              <w:t>较完整，有一定的可行性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，大部分</w:t>
            </w:r>
            <w:r>
              <w:rPr>
                <w:rFonts w:ascii="仿宋" w:hAnsi="仿宋" w:eastAsia="仿宋" w:cs="仿宋"/>
                <w:kern w:val="0"/>
                <w:sz w:val="24"/>
              </w:rPr>
              <w:t>满足项目需求的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得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分；</w:t>
            </w:r>
          </w:p>
          <w:p>
            <w:pPr>
              <w:tabs>
                <w:tab w:val="left" w:pos="972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技术方案基本完整</w:t>
            </w:r>
            <w:r>
              <w:rPr>
                <w:rFonts w:ascii="仿宋" w:hAnsi="仿宋" w:eastAsia="仿宋" w:cs="仿宋"/>
                <w:kern w:val="0"/>
                <w:sz w:val="24"/>
              </w:rPr>
              <w:t>，可行性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一般，基本</w:t>
            </w:r>
            <w:r>
              <w:rPr>
                <w:rFonts w:ascii="仿宋" w:hAnsi="仿宋" w:eastAsia="仿宋" w:cs="仿宋"/>
                <w:kern w:val="0"/>
                <w:sz w:val="24"/>
              </w:rPr>
              <w:t>满足项目需求的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得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分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；</w:t>
            </w:r>
          </w:p>
          <w:p>
            <w:pPr>
              <w:tabs>
                <w:tab w:val="left" w:pos="972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技术方案</w:t>
            </w:r>
            <w:r>
              <w:rPr>
                <w:rFonts w:ascii="仿宋" w:hAnsi="仿宋" w:eastAsia="仿宋" w:cs="仿宋"/>
                <w:kern w:val="0"/>
                <w:sz w:val="24"/>
              </w:rPr>
              <w:t>不完整，可行性差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，不能完全</w:t>
            </w:r>
            <w:r>
              <w:rPr>
                <w:rFonts w:ascii="仿宋" w:hAnsi="仿宋" w:eastAsia="仿宋" w:cs="仿宋"/>
                <w:kern w:val="0"/>
                <w:sz w:val="24"/>
              </w:rPr>
              <w:t>满足项目需求的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得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分；</w:t>
            </w:r>
          </w:p>
          <w:p>
            <w:pPr>
              <w:tabs>
                <w:tab w:val="left" w:pos="972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未提供本项内容不得分。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4" w:hRule="atLeast"/>
          <w:jc w:val="center"/>
        </w:trPr>
        <w:tc>
          <w:tcPr>
            <w:tcW w:w="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tabs>
                <w:tab w:val="left" w:pos="0"/>
                <w:tab w:val="left" w:pos="692"/>
              </w:tabs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tabs>
                <w:tab w:val="left" w:pos="0"/>
                <w:tab w:val="left" w:pos="692"/>
              </w:tabs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项目实施方案（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6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根据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项目需求书中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的相关要求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对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提供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的实施方案进行评分</w:t>
            </w:r>
            <w:r>
              <w:rPr>
                <w:rFonts w:ascii="仿宋" w:hAnsi="仿宋" w:eastAsia="仿宋" w:cs="仿宋"/>
                <w:kern w:val="0"/>
                <w:sz w:val="24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该部分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包括但不限于项目进度控制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组织架构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人员管理安排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安全保证措施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质量保证措施等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。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项目实施</w:t>
            </w:r>
            <w:r>
              <w:rPr>
                <w:rFonts w:ascii="仿宋" w:hAnsi="仿宋" w:eastAsia="仿宋" w:cs="仿宋"/>
                <w:kern w:val="0"/>
                <w:sz w:val="24"/>
              </w:rPr>
              <w:t>方案科学合理，切实可行的，得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10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分； 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项目实施</w:t>
            </w:r>
            <w:r>
              <w:rPr>
                <w:rFonts w:ascii="仿宋" w:hAnsi="仿宋" w:eastAsia="仿宋" w:cs="仿宋"/>
                <w:kern w:val="0"/>
                <w:sz w:val="24"/>
              </w:rPr>
              <w:t>方案较完整，有一定的可行性的，得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7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分； 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项目实施</w:t>
            </w:r>
            <w:r>
              <w:rPr>
                <w:rFonts w:ascii="仿宋" w:hAnsi="仿宋" w:eastAsia="仿宋" w:cs="仿宋"/>
                <w:kern w:val="0"/>
                <w:sz w:val="24"/>
              </w:rPr>
              <w:t>方案不完整，可行性差的，得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kern w:val="0"/>
                <w:sz w:val="24"/>
              </w:rPr>
              <w:t>分；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t>无相关内容的不得分。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6" w:hRule="atLeast"/>
          <w:jc w:val="center"/>
        </w:trPr>
        <w:tc>
          <w:tcPr>
            <w:tcW w:w="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4</w:t>
            </w: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tabs>
                <w:tab w:val="left" w:pos="0"/>
                <w:tab w:val="left" w:pos="692"/>
              </w:tabs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运维服务方案（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6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根据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项目需求书中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的相关要求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对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提供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的运维服务方案进行评分</w:t>
            </w:r>
            <w:r>
              <w:rPr>
                <w:rFonts w:ascii="仿宋" w:hAnsi="仿宋" w:eastAsia="仿宋" w:cs="仿宋"/>
                <w:kern w:val="0"/>
                <w:sz w:val="24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该部分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包括但不限于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响应时间、故障处理办法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等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。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运维服务方案</w:t>
            </w:r>
            <w:r>
              <w:rPr>
                <w:rFonts w:ascii="仿宋" w:hAnsi="仿宋" w:eastAsia="仿宋" w:cs="仿宋"/>
                <w:kern w:val="0"/>
                <w:sz w:val="24"/>
              </w:rPr>
              <w:t>科学合理，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能够完全保障系统安全稳定运行</w:t>
            </w:r>
            <w:r>
              <w:rPr>
                <w:rFonts w:ascii="仿宋" w:hAnsi="仿宋" w:eastAsia="仿宋" w:cs="仿宋"/>
                <w:kern w:val="0"/>
                <w:sz w:val="24"/>
              </w:rPr>
              <w:t>的，得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10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分； 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运维服务方案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较</w:t>
            </w:r>
            <w:r>
              <w:rPr>
                <w:rFonts w:ascii="仿宋" w:hAnsi="仿宋" w:eastAsia="仿宋" w:cs="仿宋"/>
                <w:kern w:val="0"/>
                <w:sz w:val="24"/>
              </w:rPr>
              <w:t>完整，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能够基本保障系统安全稳定运行</w:t>
            </w:r>
            <w:r>
              <w:rPr>
                <w:rFonts w:ascii="仿宋" w:hAnsi="仿宋" w:eastAsia="仿宋" w:cs="仿宋"/>
                <w:kern w:val="0"/>
                <w:sz w:val="24"/>
              </w:rPr>
              <w:t>的，得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7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分；  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运维服务方案</w:t>
            </w:r>
            <w:r>
              <w:rPr>
                <w:rFonts w:ascii="仿宋" w:hAnsi="仿宋" w:eastAsia="仿宋" w:cs="仿宋"/>
                <w:kern w:val="0"/>
                <w:sz w:val="24"/>
              </w:rPr>
              <w:t>不完整，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无法完全保障系统安全稳定运行</w:t>
            </w:r>
            <w:r>
              <w:rPr>
                <w:rFonts w:ascii="仿宋" w:hAnsi="仿宋" w:eastAsia="仿宋" w:cs="仿宋"/>
                <w:kern w:val="0"/>
                <w:sz w:val="24"/>
              </w:rPr>
              <w:t>的，得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kern w:val="0"/>
                <w:sz w:val="24"/>
              </w:rPr>
              <w:t>分；</w:t>
            </w:r>
          </w:p>
          <w:p>
            <w:pPr>
              <w:tabs>
                <w:tab w:val="left" w:pos="972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t>无相关内容的不得分。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二、商务部分（40分）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0" w:hRule="atLeast"/>
          <w:jc w:val="center"/>
        </w:trPr>
        <w:tc>
          <w:tcPr>
            <w:tcW w:w="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b/>
                <w:bCs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highlight w:val="none"/>
              </w:rPr>
              <w:t>业绩经验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highlight w:val="none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b/>
                <w:bCs/>
                <w:highlight w:val="none"/>
              </w:rPr>
              <w:t>分）</w:t>
            </w:r>
          </w:p>
        </w:tc>
        <w:tc>
          <w:tcPr>
            <w:tcW w:w="6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972"/>
                <w:tab w:val="left" w:pos="3600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0"/>
                <w:u w:val="none"/>
              </w:rPr>
            </w:pPr>
            <w:r>
              <w:rPr>
                <w:rFonts w:hint="default" w:ascii="仿宋" w:hAnsi="仿宋" w:eastAsia="仿宋" w:cs="仿宋"/>
                <w:kern w:val="0"/>
                <w:u w:val="none"/>
              </w:rPr>
              <w:t>供应商202</w:t>
            </w:r>
            <w:r>
              <w:rPr>
                <w:rFonts w:hint="eastAsia" w:ascii="仿宋" w:hAnsi="仿宋" w:eastAsia="仿宋" w:cs="仿宋"/>
                <w:kern w:val="0"/>
                <w:u w:val="none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kern w:val="0"/>
                <w:u w:val="none"/>
              </w:rPr>
              <w:t>年1月1日（以合同签订时间为准）以来承接过同类业绩（同类业绩指具有信息化</w:t>
            </w:r>
            <w:r>
              <w:rPr>
                <w:rFonts w:hint="eastAsia" w:ascii="仿宋" w:hAnsi="仿宋" w:eastAsia="仿宋" w:cs="仿宋"/>
                <w:kern w:val="0"/>
                <w:u w:val="none"/>
                <w:lang w:eastAsia="zh-CN"/>
              </w:rPr>
              <w:t>系统</w:t>
            </w:r>
            <w:r>
              <w:rPr>
                <w:rFonts w:hint="eastAsia" w:ascii="仿宋" w:hAnsi="仿宋" w:eastAsia="仿宋" w:cs="仿宋"/>
                <w:kern w:val="0"/>
                <w:u w:val="none"/>
                <w:lang w:val="en-US" w:eastAsia="zh-CN"/>
              </w:rPr>
              <w:t>/平台</w:t>
            </w:r>
            <w:r>
              <w:rPr>
                <w:rFonts w:hint="eastAsia" w:ascii="仿宋" w:hAnsi="仿宋" w:eastAsia="仿宋" w:cs="仿宋"/>
                <w:kern w:val="0"/>
                <w:u w:val="none"/>
                <w:lang w:eastAsia="zh-CN"/>
              </w:rPr>
              <w:t>开发或建设经验</w:t>
            </w:r>
            <w:r>
              <w:rPr>
                <w:rFonts w:hint="default" w:ascii="仿宋" w:hAnsi="仿宋" w:eastAsia="仿宋" w:cs="仿宋"/>
                <w:kern w:val="0"/>
                <w:u w:val="none"/>
              </w:rPr>
              <w:t>）的情况进行评分：</w:t>
            </w:r>
          </w:p>
          <w:p>
            <w:pPr>
              <w:tabs>
                <w:tab w:val="left" w:pos="972"/>
                <w:tab w:val="left" w:pos="3600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0"/>
                <w:u w:val="none"/>
              </w:rPr>
            </w:pPr>
            <w:r>
              <w:rPr>
                <w:rFonts w:hint="default" w:ascii="仿宋" w:hAnsi="仿宋" w:eastAsia="仿宋" w:cs="仿宋"/>
                <w:kern w:val="0"/>
                <w:u w:val="none"/>
              </w:rPr>
              <w:t>每个业绩得</w:t>
            </w:r>
            <w:r>
              <w:rPr>
                <w:rFonts w:hint="default" w:ascii="仿宋" w:hAnsi="仿宋" w:eastAsia="仿宋" w:cs="仿宋"/>
                <w:kern w:val="0"/>
                <w:u w:val="none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kern w:val="0"/>
                <w:u w:val="none"/>
              </w:rPr>
              <w:t>分，本项满分</w:t>
            </w:r>
            <w:r>
              <w:rPr>
                <w:rFonts w:hint="default" w:ascii="仿宋" w:hAnsi="仿宋" w:eastAsia="仿宋" w:cs="仿宋"/>
                <w:kern w:val="0"/>
                <w:u w:val="none"/>
                <w:lang w:val="en-US" w:eastAsia="zh-CN"/>
              </w:rPr>
              <w:t>25</w:t>
            </w:r>
            <w:r>
              <w:rPr>
                <w:rFonts w:hint="default" w:ascii="仿宋" w:hAnsi="仿宋" w:eastAsia="仿宋" w:cs="仿宋"/>
                <w:kern w:val="0"/>
                <w:u w:val="none"/>
              </w:rPr>
              <w:t>分。</w:t>
            </w:r>
          </w:p>
          <w:p>
            <w:pPr>
              <w:tabs>
                <w:tab w:val="left" w:pos="972"/>
                <w:tab w:val="left" w:pos="3600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0"/>
                <w:u w:val="none"/>
              </w:rPr>
              <w:t>注：需提供合同关键页证明材料并加盖公章，未提供或者提供的资料不符合要求的则不得分</w:t>
            </w:r>
            <w:r>
              <w:rPr>
                <w:rFonts w:hint="default" w:ascii="仿宋" w:hAnsi="仿宋" w:eastAsia="仿宋" w:cs="仿宋"/>
                <w:kern w:val="0"/>
                <w:u w:val="none"/>
                <w:lang w:eastAsia="zh-CN"/>
              </w:rPr>
              <w:t>，一份合同计为一个业绩。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9" w:hRule="atLeast"/>
          <w:jc w:val="center"/>
        </w:trPr>
        <w:tc>
          <w:tcPr>
            <w:tcW w:w="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highlight w:val="none"/>
              </w:rPr>
              <w:t>拟投入本项目的项目组实力（</w:t>
            </w:r>
            <w:r>
              <w:rPr>
                <w:rFonts w:hint="eastAsia" w:ascii="仿宋" w:hAnsi="仿宋" w:eastAsia="仿宋" w:cs="仿宋"/>
                <w:b/>
                <w:bCs/>
                <w:highlight w:val="none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/>
                <w:bCs/>
                <w:highlight w:val="none"/>
              </w:rPr>
              <w:t>分</w:t>
            </w:r>
            <w:r>
              <w:rPr>
                <w:rFonts w:hint="eastAsia" w:ascii="仿宋" w:hAnsi="仿宋" w:eastAsia="仿宋" w:cs="仿宋"/>
                <w:highlight w:val="none"/>
              </w:rPr>
              <w:t>）</w:t>
            </w:r>
          </w:p>
        </w:tc>
        <w:tc>
          <w:tcPr>
            <w:tcW w:w="6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972"/>
                <w:tab w:val="left" w:pos="3600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kern w:val="0"/>
                <w:u w:val="none"/>
              </w:rPr>
            </w:pPr>
            <w:r>
              <w:rPr>
                <w:rFonts w:ascii="仿宋" w:hAnsi="仿宋" w:eastAsia="仿宋" w:cs="仿宋"/>
                <w:kern w:val="0"/>
                <w:u w:val="none"/>
              </w:rPr>
              <w:t>供应商拟配备团队人员中，</w:t>
            </w:r>
            <w:r>
              <w:rPr>
                <w:rFonts w:hint="eastAsia" w:ascii="仿宋" w:hAnsi="仿宋" w:eastAsia="仿宋" w:cs="仿宋"/>
                <w:kern w:val="0"/>
                <w:u w:val="none"/>
                <w:lang w:eastAsia="zh-CN"/>
              </w:rPr>
              <w:t>符合以下条件的可得分：</w:t>
            </w:r>
            <w:r>
              <w:rPr>
                <w:rFonts w:hint="eastAsia" w:ascii="仿宋" w:hAnsi="仿宋" w:eastAsia="仿宋" w:cs="仿宋"/>
                <w:kern w:val="0"/>
                <w:u w:val="none"/>
              </w:rPr>
              <w:t>①项目负责人具有具有信息系统项目管理师证书，或者其他计算机技术与软件专业技术资格（水平）考试高级证书</w:t>
            </w:r>
            <w:r>
              <w:rPr>
                <w:rFonts w:hint="eastAsia" w:ascii="仿宋" w:hAnsi="仿宋" w:eastAsia="仿宋" w:cs="仿宋"/>
                <w:kern w:val="0"/>
                <w:u w:val="none"/>
                <w:lang w:eastAsia="zh-CN"/>
              </w:rPr>
              <w:t>或</w:t>
            </w:r>
            <w:r>
              <w:rPr>
                <w:rFonts w:hint="eastAsia" w:ascii="仿宋" w:hAnsi="仿宋" w:eastAsia="仿宋" w:cs="仿宋"/>
                <w:kern w:val="0"/>
                <w:u w:val="none"/>
              </w:rPr>
              <w:t>高级职称的，得</w:t>
            </w:r>
            <w:r>
              <w:rPr>
                <w:rFonts w:hint="eastAsia" w:ascii="仿宋" w:hAnsi="仿宋" w:eastAsia="仿宋" w:cs="仿宋"/>
                <w:kern w:val="0"/>
                <w:u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u w:val="none"/>
              </w:rPr>
              <w:t>分</w:t>
            </w:r>
            <w:r>
              <w:rPr>
                <w:rFonts w:hint="eastAsia" w:ascii="仿宋" w:hAnsi="仿宋" w:eastAsia="仿宋" w:cs="仿宋"/>
                <w:kern w:val="0"/>
                <w:u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kern w:val="0"/>
                <w:u w:val="none"/>
              </w:rPr>
              <w:t>②项目团队人员（不含项目负责人）具有系统集成项目管理工程师证书，或者软件设计师证书或者信息安全工程师证书，或者其他计算机技术与软件专业技术资格（水平）考试中级或以上证书</w:t>
            </w:r>
            <w:r>
              <w:rPr>
                <w:rFonts w:hint="eastAsia" w:ascii="仿宋" w:hAnsi="仿宋" w:eastAsia="仿宋" w:cs="仿宋"/>
                <w:kern w:val="0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u w:val="none"/>
              </w:rPr>
              <w:t>每人得</w:t>
            </w:r>
            <w:r>
              <w:rPr>
                <w:rFonts w:hint="eastAsia" w:ascii="仿宋" w:hAnsi="仿宋" w:eastAsia="仿宋" w:cs="仿宋"/>
                <w:kern w:val="0"/>
                <w:u w:val="none"/>
                <w:lang w:val="en-US" w:eastAsia="zh-CN"/>
              </w:rPr>
              <w:t>2.5</w:t>
            </w:r>
            <w:r>
              <w:rPr>
                <w:rFonts w:hint="eastAsia" w:ascii="仿宋" w:hAnsi="仿宋" w:eastAsia="仿宋" w:cs="仿宋"/>
                <w:kern w:val="0"/>
                <w:u w:val="none"/>
              </w:rPr>
              <w:t>分，本项最高得</w:t>
            </w:r>
            <w:r>
              <w:rPr>
                <w:rFonts w:hint="eastAsia" w:ascii="仿宋" w:hAnsi="仿宋" w:eastAsia="仿宋" w:cs="仿宋"/>
                <w:kern w:val="0"/>
                <w:u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u w:val="none"/>
              </w:rPr>
              <w:t>分。</w:t>
            </w:r>
          </w:p>
          <w:p>
            <w:pPr>
              <w:tabs>
                <w:tab w:val="left" w:pos="972"/>
                <w:tab w:val="left" w:pos="3600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注：投标文件中需同时提供上述人员信息列表、以上对应项涉及证书，及投标人在投标截止前三个月中任意一个月（投标截止当月不计）为上述人员购买的社保证明材料（加盖社保机构公章或者电子印章），或者有效的劳动合同，或者依法免缴社保的则提供相关免缴证明材料。以上响应证明文件提供复印件且均需加盖投标人公章，未提供或者提供的资料不符合要求的则不得分。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三、经济价格指标评（10分）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  <w:jc w:val="center"/>
        </w:trPr>
        <w:tc>
          <w:tcPr>
            <w:tcW w:w="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</w:rPr>
              <w:t>1</w:t>
            </w: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经济价格</w:t>
            </w:r>
          </w:p>
        </w:tc>
        <w:tc>
          <w:tcPr>
            <w:tcW w:w="6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经济价格标得分=(评标基准价/投标报价)×10%×100 上述公式中的“评标基准价”是指满足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项目需求书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要求且经评审后的最低评审价格，其价格分为满分。上述公式中的“投标报价”是指经评审后的投标报价。</w:t>
            </w:r>
          </w:p>
        </w:tc>
      </w:tr>
    </w:tbl>
    <w:p>
      <w:pPr>
        <w:pStyle w:val="15"/>
        <w:tabs>
          <w:tab w:val="left" w:pos="332"/>
        </w:tabs>
        <w:snapToGrid w:val="0"/>
        <w:ind w:left="0" w:leftChars="0" w:firstLine="0" w:firstLineChars="0"/>
        <w:rPr>
          <w:rStyle w:val="14"/>
          <w:rFonts w:hint="eastAsia" w:ascii="仿宋" w:hAnsi="仿宋" w:eastAsia="仿宋" w:cs="仿宋"/>
          <w:bCs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D4A3F"/>
    <w:multiLevelType w:val="multilevel"/>
    <w:tmpl w:val="3E9D4A3F"/>
    <w:lvl w:ilvl="0" w:tentative="0">
      <w:start w:val="1"/>
      <w:numFmt w:val="chineseCountingThousand"/>
      <w:suff w:val="space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jZjk1NjVjMWU5OTk0ZDRhOTRhMWRmZGMyY2I5MjAifQ=="/>
  </w:docVars>
  <w:rsids>
    <w:rsidRoot w:val="00783AED"/>
    <w:rsid w:val="00045F71"/>
    <w:rsid w:val="0006119C"/>
    <w:rsid w:val="00080D9D"/>
    <w:rsid w:val="000F4777"/>
    <w:rsid w:val="001010F7"/>
    <w:rsid w:val="00124D04"/>
    <w:rsid w:val="0016387E"/>
    <w:rsid w:val="001D4843"/>
    <w:rsid w:val="001E3956"/>
    <w:rsid w:val="001E7DD5"/>
    <w:rsid w:val="00207959"/>
    <w:rsid w:val="00267C62"/>
    <w:rsid w:val="002A7488"/>
    <w:rsid w:val="002C0A25"/>
    <w:rsid w:val="00305FDE"/>
    <w:rsid w:val="00347C7B"/>
    <w:rsid w:val="00352E23"/>
    <w:rsid w:val="00381D51"/>
    <w:rsid w:val="003D26D8"/>
    <w:rsid w:val="00433C2E"/>
    <w:rsid w:val="00541AE5"/>
    <w:rsid w:val="00556CF5"/>
    <w:rsid w:val="006105DC"/>
    <w:rsid w:val="006544AA"/>
    <w:rsid w:val="006A7E37"/>
    <w:rsid w:val="006B386E"/>
    <w:rsid w:val="006C5801"/>
    <w:rsid w:val="006D210D"/>
    <w:rsid w:val="007255C9"/>
    <w:rsid w:val="00751194"/>
    <w:rsid w:val="00783AED"/>
    <w:rsid w:val="00787536"/>
    <w:rsid w:val="007A293A"/>
    <w:rsid w:val="007D0BFF"/>
    <w:rsid w:val="007E1887"/>
    <w:rsid w:val="007E52DF"/>
    <w:rsid w:val="007E5745"/>
    <w:rsid w:val="007F2C01"/>
    <w:rsid w:val="007F7BF5"/>
    <w:rsid w:val="008731E7"/>
    <w:rsid w:val="008C4311"/>
    <w:rsid w:val="008F65A6"/>
    <w:rsid w:val="00936845"/>
    <w:rsid w:val="00962DED"/>
    <w:rsid w:val="00977D05"/>
    <w:rsid w:val="00993E8A"/>
    <w:rsid w:val="00A06BE9"/>
    <w:rsid w:val="00A10012"/>
    <w:rsid w:val="00A21B1B"/>
    <w:rsid w:val="00A416E2"/>
    <w:rsid w:val="00AF2A43"/>
    <w:rsid w:val="00B17BBB"/>
    <w:rsid w:val="00BD18C8"/>
    <w:rsid w:val="00BF48DE"/>
    <w:rsid w:val="00C415E9"/>
    <w:rsid w:val="00C7752B"/>
    <w:rsid w:val="00C85CE8"/>
    <w:rsid w:val="00CA117E"/>
    <w:rsid w:val="00D4055D"/>
    <w:rsid w:val="00D93F9D"/>
    <w:rsid w:val="00DA4FDA"/>
    <w:rsid w:val="00E54BE2"/>
    <w:rsid w:val="00F251E5"/>
    <w:rsid w:val="00F566E4"/>
    <w:rsid w:val="00FE19B3"/>
    <w:rsid w:val="00FE1F9B"/>
    <w:rsid w:val="01A35B5C"/>
    <w:rsid w:val="09EA0AA5"/>
    <w:rsid w:val="09FE6E56"/>
    <w:rsid w:val="0A072E0A"/>
    <w:rsid w:val="0CCF5881"/>
    <w:rsid w:val="0CDD2925"/>
    <w:rsid w:val="0EEE0C6B"/>
    <w:rsid w:val="100B407B"/>
    <w:rsid w:val="18357EDD"/>
    <w:rsid w:val="1B88120B"/>
    <w:rsid w:val="1BAE23B8"/>
    <w:rsid w:val="1BCD48DA"/>
    <w:rsid w:val="1DEA5A81"/>
    <w:rsid w:val="1FF977B6"/>
    <w:rsid w:val="264E1CF2"/>
    <w:rsid w:val="265248D9"/>
    <w:rsid w:val="27F71C0E"/>
    <w:rsid w:val="282176B2"/>
    <w:rsid w:val="2AB6675E"/>
    <w:rsid w:val="30C27E77"/>
    <w:rsid w:val="313F51D5"/>
    <w:rsid w:val="36140EF6"/>
    <w:rsid w:val="3B4B68CB"/>
    <w:rsid w:val="3BB47A2E"/>
    <w:rsid w:val="3CEF28C2"/>
    <w:rsid w:val="3D0B3416"/>
    <w:rsid w:val="3E3363C7"/>
    <w:rsid w:val="3E405364"/>
    <w:rsid w:val="3FB6697C"/>
    <w:rsid w:val="41091708"/>
    <w:rsid w:val="418C2076"/>
    <w:rsid w:val="44085C5E"/>
    <w:rsid w:val="4A2033D0"/>
    <w:rsid w:val="4A581909"/>
    <w:rsid w:val="4B247B60"/>
    <w:rsid w:val="53FC00FE"/>
    <w:rsid w:val="57072949"/>
    <w:rsid w:val="5ED14165"/>
    <w:rsid w:val="5F324C29"/>
    <w:rsid w:val="63526A02"/>
    <w:rsid w:val="67CD648C"/>
    <w:rsid w:val="687F4E68"/>
    <w:rsid w:val="687F53CF"/>
    <w:rsid w:val="6D000D49"/>
    <w:rsid w:val="712129C6"/>
    <w:rsid w:val="72582312"/>
    <w:rsid w:val="725B6C9D"/>
    <w:rsid w:val="72C22595"/>
    <w:rsid w:val="74C2448C"/>
    <w:rsid w:val="79CA35D6"/>
    <w:rsid w:val="7D591CA2"/>
    <w:rsid w:val="7D9C3927"/>
    <w:rsid w:val="7DBE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1"/>
    <w:pPr>
      <w:keepNext/>
      <w:keepLines/>
      <w:numPr>
        <w:ilvl w:val="2"/>
        <w:numId w:val="1"/>
      </w:numPr>
      <w:spacing w:before="260" w:after="260" w:line="415" w:lineRule="auto"/>
      <w:ind w:firstLineChars="0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/>
      <w:snapToGrid/>
      <w:spacing w:after="120" w:line="240" w:lineRule="auto"/>
      <w:ind w:left="420" w:leftChars="200"/>
    </w:pPr>
  </w:style>
  <w:style w:type="paragraph" w:styleId="3">
    <w:name w:val="Body Text Indent"/>
    <w:basedOn w:val="1"/>
    <w:next w:val="1"/>
    <w:qFormat/>
    <w:uiPriority w:val="0"/>
    <w:pPr>
      <w:adjustRightInd w:val="0"/>
      <w:snapToGrid w:val="0"/>
      <w:ind w:firstLine="420" w:firstLine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1"/>
    <w:unhideWhenUsed/>
    <w:qFormat/>
    <w:uiPriority w:val="99"/>
    <w:pPr>
      <w:spacing w:after="120"/>
    </w:pPr>
  </w:style>
  <w:style w:type="paragraph" w:styleId="7">
    <w:name w:val="Body Text Indent 2"/>
    <w:basedOn w:val="1"/>
    <w:next w:val="1"/>
    <w:qFormat/>
    <w:uiPriority w:val="0"/>
    <w:pPr>
      <w:spacing w:line="480" w:lineRule="exact"/>
      <w:ind w:left="810" w:firstLine="675"/>
    </w:pPr>
    <w:rPr>
      <w:rFonts w:eastAsia="仿宋_GB2312"/>
      <w:sz w:val="30"/>
      <w:szCs w:val="20"/>
    </w:rPr>
  </w:style>
  <w:style w:type="paragraph" w:styleId="8">
    <w:name w:val="Balloon Text"/>
    <w:basedOn w:val="1"/>
    <w:link w:val="19"/>
    <w:qFormat/>
    <w:uiPriority w:val="0"/>
    <w:pPr>
      <w:spacing w:line="240" w:lineRule="auto"/>
    </w:pPr>
    <w:rPr>
      <w:sz w:val="18"/>
      <w:szCs w:val="18"/>
    </w:rPr>
  </w:style>
  <w:style w:type="paragraph" w:styleId="9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0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1">
    <w:name w:val="Body Text First Indent"/>
    <w:basedOn w:val="6"/>
    <w:unhideWhenUsed/>
    <w:qFormat/>
    <w:uiPriority w:val="99"/>
    <w:pPr>
      <w:spacing w:line="240" w:lineRule="auto"/>
      <w:ind w:firstLine="420" w:firstLineChars="100"/>
    </w:pPr>
    <w:rPr>
      <w:rFonts w:ascii="Calibri" w:hAnsi="Calibri"/>
      <w:sz w:val="21"/>
    </w:rPr>
  </w:style>
  <w:style w:type="character" w:customStyle="1" w:styleId="14">
    <w:name w:val="NormalCharacter"/>
    <w:qFormat/>
    <w:uiPriority w:val="0"/>
  </w:style>
  <w:style w:type="paragraph" w:customStyle="1" w:styleId="15">
    <w:name w:val="PlainText"/>
    <w:basedOn w:val="1"/>
    <w:qFormat/>
    <w:uiPriority w:val="0"/>
    <w:rPr>
      <w:rFonts w:ascii="宋体" w:hAnsi="Courier New"/>
      <w:szCs w:val="21"/>
    </w:rPr>
  </w:style>
  <w:style w:type="table" w:customStyle="1" w:styleId="16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页眉 Char"/>
    <w:basedOn w:val="13"/>
    <w:link w:val="10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页脚 Char"/>
    <w:basedOn w:val="13"/>
    <w:link w:val="9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批注框文本 Char"/>
    <w:basedOn w:val="13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0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1">
    <w:name w:val="List Paragraph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1391</Words>
  <Characters>1418</Characters>
  <Lines>7</Lines>
  <Paragraphs>2</Paragraphs>
  <TotalTime>1</TotalTime>
  <ScaleCrop>false</ScaleCrop>
  <LinksUpToDate>false</LinksUpToDate>
  <CharactersWithSpaces>1428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2024-02-05T04:36:00Z</dcterms:created>
  <dc:creator>Administrator</dc:creator>
  <cp:lastModifiedBy>何幸容</cp:lastModifiedBy>
  <cp:lastPrinted>2024-02-27T09:31:00Z</cp:lastPrinted>
  <dcterms:modified xsi:type="dcterms:W3CDTF">2026-04-22T06:15:01Z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5DC44B55FAE34C9584C307D773DE0985_13</vt:lpwstr>
  </property>
  <property fmtid="{D5CDD505-2E9C-101B-9397-08002B2CF9AE}" pid="4" name="KSOTemplateDocerSaveRecord">
    <vt:lpwstr>eyJoZGlkIjoiMmM0YTE2NzFkYWFlNTI1YjZjMTI2NDNjNGY0M2UyNzMiLCJ1c2VySWQiOiIzNDQzNjYxMDUifQ==</vt:lpwstr>
  </property>
</Properties>
</file>