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0"/>
      </w:pPr>
      <w:r>
        <w:rPr>
          <w:spacing w:val="-7"/>
          <w:w w:val="95"/>
        </w:rPr>
        <w:t>附件 </w:t>
      </w:r>
      <w:r>
        <w:rPr>
          <w:w w:val="95"/>
        </w:rPr>
        <w:t>3：</w:t>
      </w:r>
    </w:p>
    <w:p>
      <w:pPr>
        <w:spacing w:line="240" w:lineRule="auto" w:before="3"/>
        <w:rPr>
          <w:sz w:val="54"/>
        </w:rPr>
      </w:pPr>
      <w:r>
        <w:rPr/>
        <w:br w:type="column"/>
      </w:r>
      <w:r>
        <w:rPr>
          <w:sz w:val="54"/>
        </w:rPr>
      </w:r>
    </w:p>
    <w:p>
      <w:pPr>
        <w:pStyle w:val="Title"/>
      </w:pPr>
      <w:r>
        <w:rPr/>
        <w:t>评分标准</w:t>
      </w:r>
    </w:p>
    <w:p>
      <w:pPr>
        <w:spacing w:after="0"/>
        <w:sectPr>
          <w:type w:val="continuous"/>
          <w:pgSz w:w="11910" w:h="16840"/>
          <w:pgMar w:top="1500" w:bottom="280" w:left="1320" w:right="1320"/>
          <w:cols w:num="2" w:equalWidth="0">
            <w:col w:w="1720" w:space="1553"/>
            <w:col w:w="5997"/>
          </w:cols>
        </w:sectPr>
      </w:pPr>
    </w:p>
    <w:p>
      <w:pPr>
        <w:pStyle w:val="BodyText"/>
        <w:spacing w:before="5"/>
        <w:ind w:left="0"/>
        <w:rPr>
          <w:sz w:val="24"/>
        </w:rPr>
      </w:pPr>
    </w:p>
    <w:p>
      <w:pPr>
        <w:pStyle w:val="BodyText"/>
        <w:spacing w:line="338" w:lineRule="auto" w:before="55"/>
        <w:ind w:right="480" w:firstLine="640"/>
      </w:pPr>
      <w:r>
        <w:rPr>
          <w:w w:val="95"/>
        </w:rPr>
        <w:t>本项目采用综合评分法方法进行评审，具体评分细则详</w:t>
      </w:r>
      <w:r>
        <w:rPr>
          <w:spacing w:val="1"/>
          <w:w w:val="95"/>
        </w:rPr>
        <w:t> </w:t>
      </w:r>
      <w:r>
        <w:rPr/>
        <w:t>见综合评分表。评价指标及权重：</w:t>
      </w:r>
    </w:p>
    <w:p>
      <w:pPr>
        <w:pStyle w:val="BodyText"/>
        <w:ind w:left="0"/>
        <w:rPr>
          <w:sz w:val="20"/>
        </w:rPr>
      </w:pPr>
    </w:p>
    <w:p>
      <w:pPr>
        <w:pStyle w:val="BodyText"/>
        <w:spacing w:before="1"/>
        <w:ind w:left="0"/>
        <w:rPr>
          <w:sz w:val="14"/>
        </w:rPr>
      </w:pPr>
    </w:p>
    <w:tbl>
      <w:tblPr>
        <w:tblW w:w="0" w:type="auto"/>
        <w:jc w:val="left"/>
        <w:tblInd w:w="1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00"/>
      </w:tblGrid>
      <w:tr>
        <w:trPr>
          <w:trHeight w:val="624" w:hRule="atLeast"/>
        </w:trPr>
        <w:tc>
          <w:tcPr>
            <w:tcW w:w="2700" w:type="dxa"/>
          </w:tcPr>
          <w:p>
            <w:pPr>
              <w:pStyle w:val="TableParagraph"/>
              <w:spacing w:before="134"/>
              <w:ind w:left="771" w:right="759"/>
              <w:jc w:val="center"/>
              <w:rPr>
                <w:rFonts w:ascii="黑体" w:eastAsia="黑体" w:hint="eastAsia"/>
                <w:sz w:val="28"/>
              </w:rPr>
            </w:pPr>
            <w:r>
              <w:rPr>
                <w:rFonts w:ascii="黑体" w:eastAsia="黑体" w:hint="eastAsia"/>
                <w:sz w:val="28"/>
              </w:rPr>
              <w:t>评价指标</w:t>
            </w:r>
          </w:p>
        </w:tc>
        <w:tc>
          <w:tcPr>
            <w:tcW w:w="2700" w:type="dxa"/>
          </w:tcPr>
          <w:p>
            <w:pPr>
              <w:pStyle w:val="TableParagraph"/>
              <w:spacing w:before="134"/>
              <w:ind w:left="771" w:right="759"/>
              <w:jc w:val="center"/>
              <w:rPr>
                <w:rFonts w:ascii="黑体" w:eastAsia="黑体" w:hint="eastAsia"/>
                <w:sz w:val="28"/>
              </w:rPr>
            </w:pPr>
            <w:r>
              <w:rPr>
                <w:rFonts w:ascii="黑体" w:eastAsia="黑体" w:hint="eastAsia"/>
                <w:sz w:val="28"/>
              </w:rPr>
              <w:t>指标权重</w:t>
            </w:r>
          </w:p>
        </w:tc>
      </w:tr>
      <w:tr>
        <w:trPr>
          <w:trHeight w:val="623" w:hRule="atLeast"/>
        </w:trPr>
        <w:tc>
          <w:tcPr>
            <w:tcW w:w="2700" w:type="dxa"/>
          </w:tcPr>
          <w:p>
            <w:pPr>
              <w:pStyle w:val="TableParagraph"/>
              <w:spacing w:before="134"/>
              <w:ind w:left="771" w:right="759"/>
              <w:jc w:val="center"/>
              <w:rPr>
                <w:sz w:val="28"/>
              </w:rPr>
            </w:pPr>
            <w:r>
              <w:rPr>
                <w:sz w:val="28"/>
              </w:rPr>
              <w:t>技术部分</w:t>
            </w:r>
          </w:p>
        </w:tc>
        <w:tc>
          <w:tcPr>
            <w:tcW w:w="2700" w:type="dxa"/>
          </w:tcPr>
          <w:p>
            <w:pPr>
              <w:pStyle w:val="TableParagraph"/>
              <w:spacing w:before="134"/>
              <w:ind w:left="770" w:right="759"/>
              <w:jc w:val="center"/>
              <w:rPr>
                <w:sz w:val="28"/>
              </w:rPr>
            </w:pPr>
            <w:r>
              <w:rPr>
                <w:sz w:val="28"/>
              </w:rPr>
              <w:t>60</w:t>
            </w:r>
          </w:p>
        </w:tc>
      </w:tr>
      <w:tr>
        <w:trPr>
          <w:trHeight w:val="623" w:hRule="atLeast"/>
        </w:trPr>
        <w:tc>
          <w:tcPr>
            <w:tcW w:w="2700" w:type="dxa"/>
          </w:tcPr>
          <w:p>
            <w:pPr>
              <w:pStyle w:val="TableParagraph"/>
              <w:spacing w:before="133"/>
              <w:ind w:left="771" w:right="759"/>
              <w:jc w:val="center"/>
              <w:rPr>
                <w:sz w:val="28"/>
              </w:rPr>
            </w:pPr>
            <w:r>
              <w:rPr>
                <w:sz w:val="28"/>
              </w:rPr>
              <w:t>商务部分</w:t>
            </w:r>
          </w:p>
        </w:tc>
        <w:tc>
          <w:tcPr>
            <w:tcW w:w="2700" w:type="dxa"/>
          </w:tcPr>
          <w:p>
            <w:pPr>
              <w:pStyle w:val="TableParagraph"/>
              <w:spacing w:before="133"/>
              <w:ind w:left="770" w:right="759"/>
              <w:jc w:val="center"/>
              <w:rPr>
                <w:sz w:val="28"/>
              </w:rPr>
            </w:pPr>
            <w:r>
              <w:rPr>
                <w:sz w:val="28"/>
              </w:rPr>
              <w:t>30</w:t>
            </w:r>
          </w:p>
        </w:tc>
      </w:tr>
      <w:tr>
        <w:trPr>
          <w:trHeight w:val="623" w:hRule="atLeast"/>
        </w:trPr>
        <w:tc>
          <w:tcPr>
            <w:tcW w:w="2700" w:type="dxa"/>
          </w:tcPr>
          <w:p>
            <w:pPr>
              <w:pStyle w:val="TableParagraph"/>
              <w:spacing w:before="133"/>
              <w:ind w:left="771" w:right="759"/>
              <w:jc w:val="center"/>
              <w:rPr>
                <w:sz w:val="28"/>
              </w:rPr>
            </w:pPr>
            <w:r>
              <w:rPr>
                <w:sz w:val="28"/>
              </w:rPr>
              <w:t>经济价格</w:t>
            </w:r>
          </w:p>
        </w:tc>
        <w:tc>
          <w:tcPr>
            <w:tcW w:w="2700" w:type="dxa"/>
          </w:tcPr>
          <w:p>
            <w:pPr>
              <w:pStyle w:val="TableParagraph"/>
              <w:spacing w:before="133"/>
              <w:ind w:left="770" w:right="759"/>
              <w:jc w:val="center"/>
              <w:rPr>
                <w:sz w:val="28"/>
              </w:rPr>
            </w:pPr>
            <w:r>
              <w:rPr>
                <w:sz w:val="28"/>
              </w:rPr>
              <w:t>10</w:t>
            </w:r>
          </w:p>
        </w:tc>
      </w:tr>
      <w:tr>
        <w:trPr>
          <w:trHeight w:val="623" w:hRule="atLeast"/>
        </w:trPr>
        <w:tc>
          <w:tcPr>
            <w:tcW w:w="2700" w:type="dxa"/>
          </w:tcPr>
          <w:p>
            <w:pPr>
              <w:pStyle w:val="TableParagraph"/>
              <w:spacing w:before="132"/>
              <w:ind w:left="769" w:right="759"/>
              <w:jc w:val="center"/>
              <w:rPr>
                <w:sz w:val="28"/>
              </w:rPr>
            </w:pPr>
            <w:r>
              <w:rPr>
                <w:sz w:val="28"/>
              </w:rPr>
              <w:t>合计</w:t>
            </w:r>
          </w:p>
        </w:tc>
        <w:tc>
          <w:tcPr>
            <w:tcW w:w="2700" w:type="dxa"/>
          </w:tcPr>
          <w:p>
            <w:pPr>
              <w:pStyle w:val="TableParagraph"/>
              <w:spacing w:before="132"/>
              <w:ind w:left="767" w:right="759"/>
              <w:jc w:val="center"/>
              <w:rPr>
                <w:sz w:val="28"/>
              </w:rPr>
            </w:pPr>
            <w:r>
              <w:rPr>
                <w:sz w:val="28"/>
              </w:rPr>
              <w:t>100</w:t>
            </w:r>
          </w:p>
        </w:tc>
      </w:tr>
    </w:tbl>
    <w:p>
      <w:pPr>
        <w:pStyle w:val="BodyText"/>
        <w:spacing w:before="4"/>
        <w:ind w:left="0"/>
        <w:rPr>
          <w:sz w:val="7"/>
        </w:rPr>
      </w:pPr>
    </w:p>
    <w:p>
      <w:pPr>
        <w:pStyle w:val="BodyText"/>
        <w:spacing w:before="55"/>
        <w:ind w:left="1120"/>
      </w:pPr>
      <w:r>
        <w:rPr/>
        <w:t>特别说明：</w:t>
      </w:r>
    </w:p>
    <w:p>
      <w:pPr>
        <w:pStyle w:val="BodyText"/>
        <w:spacing w:line="338" w:lineRule="auto" w:before="168"/>
        <w:ind w:right="158" w:firstLine="640"/>
      </w:pPr>
      <w:r>
        <w:rPr>
          <w:w w:val="95"/>
        </w:rPr>
        <w:t>（一）将所有商务技术评价指标所得实际评价分数相加，</w:t>
      </w:r>
      <w:r>
        <w:rPr>
          <w:spacing w:val="1"/>
          <w:w w:val="95"/>
        </w:rPr>
        <w:t> </w:t>
      </w:r>
      <w:r>
        <w:rPr/>
        <w:t>即为该投标人的商务技术评价得分，所有评委评出的商务技术评价得分取平均值为该投标人的商务技术标得分。</w:t>
      </w:r>
    </w:p>
    <w:p>
      <w:pPr>
        <w:pStyle w:val="BodyText"/>
        <w:spacing w:line="338" w:lineRule="auto" w:before="4"/>
        <w:ind w:right="480" w:firstLine="640"/>
      </w:pPr>
      <w:r>
        <w:rPr>
          <w:w w:val="95"/>
        </w:rPr>
        <w:t>（二）经济价格标得分=(评标基准价/投标报价)×价格</w:t>
      </w:r>
      <w:r>
        <w:rPr>
          <w:spacing w:val="1"/>
          <w:w w:val="95"/>
        </w:rPr>
        <w:t> </w:t>
      </w:r>
      <w:r>
        <w:rPr/>
        <w:t>指标权重×100。</w:t>
      </w:r>
    </w:p>
    <w:p>
      <w:pPr>
        <w:pStyle w:val="BodyText"/>
        <w:spacing w:line="338" w:lineRule="auto"/>
        <w:ind w:right="477" w:firstLine="640"/>
        <w:jc w:val="both"/>
      </w:pPr>
      <w:r>
        <w:rPr>
          <w:w w:val="95"/>
        </w:rPr>
        <w:t>上述公式中的“评标基准价”是指满足项目采购需求且</w:t>
      </w:r>
      <w:r>
        <w:rPr>
          <w:spacing w:val="1"/>
          <w:w w:val="95"/>
        </w:rPr>
        <w:t> </w:t>
      </w:r>
      <w:r>
        <w:rPr>
          <w:w w:val="95"/>
        </w:rPr>
        <w:t>经评审后的最低评审价格，其价格分为满分。上述公式中的</w:t>
      </w:r>
      <w:r>
        <w:rPr>
          <w:spacing w:val="1"/>
          <w:w w:val="95"/>
        </w:rPr>
        <w:t> </w:t>
      </w:r>
      <w:r>
        <w:rPr/>
        <w:t>“投标报价”是指经评审后的投标报价。</w:t>
      </w:r>
    </w:p>
    <w:p>
      <w:pPr>
        <w:pStyle w:val="BodyText"/>
        <w:spacing w:line="338" w:lineRule="auto" w:before="3"/>
        <w:ind w:right="480" w:firstLine="640"/>
        <w:jc w:val="both"/>
      </w:pPr>
      <w:r>
        <w:rPr/>
        <w:t>（三）</w:t>
      </w:r>
      <w:r>
        <w:rPr>
          <w:spacing w:val="-5"/>
        </w:rPr>
        <w:t>投标最终得分 = 商务标得分 + 技术标得分＋经</w:t>
      </w:r>
      <w:r>
        <w:rPr/>
        <w:t>济价格标得分。</w:t>
      </w:r>
    </w:p>
    <w:p>
      <w:pPr>
        <w:spacing w:after="0" w:line="338" w:lineRule="auto"/>
        <w:jc w:val="both"/>
        <w:sectPr>
          <w:type w:val="continuous"/>
          <w:pgSz w:w="11910" w:h="16840"/>
          <w:pgMar w:top="1500" w:bottom="280" w:left="1320" w:right="13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6"/>
        <w:gridCol w:w="1284"/>
        <w:gridCol w:w="6530"/>
      </w:tblGrid>
      <w:tr>
        <w:trPr>
          <w:trHeight w:val="623" w:hRule="atLeast"/>
        </w:trPr>
        <w:tc>
          <w:tcPr>
            <w:tcW w:w="9040" w:type="dxa"/>
            <w:gridSpan w:val="3"/>
          </w:tcPr>
          <w:p>
            <w:pPr>
              <w:pStyle w:val="TableParagraph"/>
              <w:spacing w:before="41"/>
              <w:ind w:left="3080" w:right="3073"/>
              <w:jc w:val="center"/>
              <w:rPr>
                <w:rFonts w:ascii="Microsoft JhengHei" w:eastAsia="Microsoft JhengHei" w:hint="eastAsia"/>
                <w:b/>
                <w:sz w:val="28"/>
              </w:rPr>
            </w:pPr>
            <w:r>
              <w:rPr>
                <w:rFonts w:ascii="Microsoft JhengHei" w:eastAsia="Microsoft JhengHei" w:hint="eastAsia"/>
                <w:b/>
                <w:w w:val="95"/>
                <w:sz w:val="28"/>
              </w:rPr>
              <w:t>1、技术部分（60</w:t>
            </w:r>
            <w:r>
              <w:rPr>
                <w:rFonts w:ascii="Microsoft JhengHei" w:eastAsia="Microsoft JhengHei" w:hint="eastAsia"/>
                <w:b/>
                <w:spacing w:val="15"/>
                <w:w w:val="95"/>
                <w:sz w:val="28"/>
              </w:rPr>
              <w:t> 分</w:t>
            </w:r>
            <w:r>
              <w:rPr>
                <w:rFonts w:ascii="Microsoft JhengHei" w:eastAsia="Microsoft JhengHei" w:hint="eastAsia"/>
                <w:b/>
                <w:w w:val="95"/>
                <w:sz w:val="28"/>
              </w:rPr>
              <w:t>）</w:t>
            </w:r>
          </w:p>
        </w:tc>
      </w:tr>
      <w:tr>
        <w:trPr>
          <w:trHeight w:val="404" w:hRule="atLeast"/>
        </w:trPr>
        <w:tc>
          <w:tcPr>
            <w:tcW w:w="1226" w:type="dxa"/>
          </w:tcPr>
          <w:p>
            <w:pPr>
              <w:pStyle w:val="TableParagraph"/>
              <w:spacing w:before="48"/>
              <w:ind w:left="131"/>
              <w:rPr>
                <w:sz w:val="24"/>
              </w:rPr>
            </w:pPr>
            <w:r>
              <w:rPr>
                <w:sz w:val="24"/>
              </w:rPr>
              <w:t>评价指标</w:t>
            </w:r>
          </w:p>
        </w:tc>
        <w:tc>
          <w:tcPr>
            <w:tcW w:w="1284" w:type="dxa"/>
          </w:tcPr>
          <w:p>
            <w:pPr>
              <w:pStyle w:val="TableParagraph"/>
              <w:spacing w:before="48"/>
              <w:ind w:left="160"/>
              <w:rPr>
                <w:sz w:val="24"/>
              </w:rPr>
            </w:pPr>
            <w:r>
              <w:rPr>
                <w:sz w:val="24"/>
              </w:rPr>
              <w:t>分项分值</w:t>
            </w:r>
          </w:p>
        </w:tc>
        <w:tc>
          <w:tcPr>
            <w:tcW w:w="6530" w:type="dxa"/>
          </w:tcPr>
          <w:p>
            <w:pPr>
              <w:pStyle w:val="TableParagraph"/>
              <w:spacing w:before="48"/>
              <w:ind w:left="2163" w:right="2156"/>
              <w:jc w:val="center"/>
              <w:rPr>
                <w:sz w:val="24"/>
              </w:rPr>
            </w:pPr>
            <w:r>
              <w:rPr>
                <w:sz w:val="24"/>
              </w:rPr>
              <w:t>评分细则</w:t>
            </w:r>
          </w:p>
        </w:tc>
      </w:tr>
      <w:tr>
        <w:trPr>
          <w:trHeight w:val="6000" w:hRule="atLeast"/>
        </w:trPr>
        <w:tc>
          <w:tcPr>
            <w:tcW w:w="1226"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9"/>
              </w:rPr>
            </w:pPr>
          </w:p>
          <w:p>
            <w:pPr>
              <w:pStyle w:val="TableParagraph"/>
              <w:spacing w:line="242" w:lineRule="auto" w:before="1"/>
              <w:ind w:left="371" w:right="122" w:hanging="240"/>
              <w:rPr>
                <w:sz w:val="24"/>
              </w:rPr>
            </w:pPr>
            <w:r>
              <w:rPr>
                <w:spacing w:val="-1"/>
                <w:sz w:val="24"/>
              </w:rPr>
              <w:t>运维服务</w:t>
            </w:r>
            <w:r>
              <w:rPr>
                <w:sz w:val="24"/>
              </w:rPr>
              <w:t>方案</w:t>
            </w:r>
          </w:p>
          <w:p>
            <w:pPr>
              <w:pStyle w:val="TableParagraph"/>
              <w:spacing w:before="2"/>
              <w:ind w:left="107"/>
              <w:rPr>
                <w:sz w:val="24"/>
              </w:rPr>
            </w:pPr>
            <w:r>
              <w:rPr>
                <w:sz w:val="24"/>
              </w:rPr>
              <w:t>（60</w:t>
            </w:r>
            <w:r>
              <w:rPr>
                <w:spacing w:val="-30"/>
                <w:sz w:val="24"/>
              </w:rPr>
              <w:t> 分</w:t>
            </w:r>
            <w:r>
              <w:rPr>
                <w:sz w:val="24"/>
              </w:rPr>
              <w:t>）</w:t>
            </w:r>
          </w:p>
        </w:tc>
        <w:tc>
          <w:tcPr>
            <w:tcW w:w="128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6"/>
              </w:rPr>
            </w:pPr>
          </w:p>
          <w:p>
            <w:pPr>
              <w:pStyle w:val="TableParagraph"/>
              <w:spacing w:before="1"/>
              <w:ind w:left="160"/>
              <w:rPr>
                <w:sz w:val="24"/>
              </w:rPr>
            </w:pPr>
            <w:r>
              <w:rPr>
                <w:sz w:val="24"/>
              </w:rPr>
              <w:t>服务方案</w:t>
            </w:r>
          </w:p>
          <w:p>
            <w:pPr>
              <w:pStyle w:val="TableParagraph"/>
              <w:spacing w:before="4"/>
              <w:ind w:left="131"/>
              <w:rPr>
                <w:sz w:val="24"/>
              </w:rPr>
            </w:pPr>
            <w:r>
              <w:rPr>
                <w:w w:val="95"/>
                <w:sz w:val="24"/>
              </w:rPr>
              <w:t>（30</w:t>
            </w:r>
            <w:r>
              <w:rPr>
                <w:spacing w:val="-4"/>
                <w:w w:val="95"/>
                <w:sz w:val="24"/>
              </w:rPr>
              <w:t> 分</w:t>
            </w:r>
            <w:r>
              <w:rPr>
                <w:w w:val="95"/>
                <w:sz w:val="24"/>
              </w:rPr>
              <w:t>）</w:t>
            </w:r>
          </w:p>
        </w:tc>
        <w:tc>
          <w:tcPr>
            <w:tcW w:w="6530" w:type="dxa"/>
          </w:tcPr>
          <w:p>
            <w:pPr>
              <w:pStyle w:val="TableParagraph"/>
              <w:spacing w:line="391" w:lineRule="auto" w:before="160"/>
              <w:ind w:left="107" w:right="-29"/>
              <w:rPr>
                <w:sz w:val="24"/>
              </w:rPr>
            </w:pPr>
            <w:r>
              <w:rPr>
                <w:sz w:val="24"/>
              </w:rPr>
              <w:t>根据投标人提供的运维服务方案（包括但不限于对运维服务</w:t>
            </w:r>
            <w:r>
              <w:rPr>
                <w:spacing w:val="-2"/>
                <w:sz w:val="24"/>
              </w:rPr>
              <w:t>内容、人员组织安排、运维服务计划、服务质量保障措施等</w:t>
            </w:r>
            <w:r>
              <w:rPr>
                <w:spacing w:val="-1"/>
                <w:sz w:val="24"/>
              </w:rPr>
              <w:t>）</w:t>
            </w:r>
            <w:r>
              <w:rPr>
                <w:spacing w:val="-117"/>
                <w:sz w:val="24"/>
              </w:rPr>
              <w:t> </w:t>
            </w:r>
            <w:r>
              <w:rPr>
                <w:sz w:val="24"/>
              </w:rPr>
              <w:t>内容进行横向综合评比：</w:t>
            </w:r>
          </w:p>
          <w:p>
            <w:pPr>
              <w:pStyle w:val="TableParagraph"/>
              <w:numPr>
                <w:ilvl w:val="0"/>
                <w:numId w:val="1"/>
              </w:numPr>
              <w:tabs>
                <w:tab w:pos="709" w:val="left" w:leader="none"/>
              </w:tabs>
              <w:spacing w:line="391" w:lineRule="auto" w:before="0" w:after="0"/>
              <w:ind w:left="107" w:right="95" w:firstLine="0"/>
              <w:jc w:val="left"/>
              <w:rPr>
                <w:sz w:val="24"/>
              </w:rPr>
            </w:pPr>
            <w:r>
              <w:rPr>
                <w:sz w:val="24"/>
              </w:rPr>
              <w:t>维护方案详尽细化、概括所有运维服务内容的日常维</w:t>
            </w:r>
            <w:r>
              <w:rPr>
                <w:spacing w:val="-5"/>
                <w:sz w:val="24"/>
              </w:rPr>
              <w:t>护需求，且方案具有实用性和针对性，得 </w:t>
            </w:r>
            <w:r>
              <w:rPr>
                <w:sz w:val="24"/>
              </w:rPr>
              <w:t>30</w:t>
            </w:r>
            <w:r>
              <w:rPr>
                <w:spacing w:val="-20"/>
                <w:sz w:val="24"/>
              </w:rPr>
              <w:t> 分；</w:t>
            </w:r>
          </w:p>
          <w:p>
            <w:pPr>
              <w:pStyle w:val="TableParagraph"/>
              <w:numPr>
                <w:ilvl w:val="0"/>
                <w:numId w:val="1"/>
              </w:numPr>
              <w:tabs>
                <w:tab w:pos="709" w:val="left" w:leader="none"/>
              </w:tabs>
              <w:spacing w:line="388" w:lineRule="auto" w:before="0" w:after="0"/>
              <w:ind w:left="107" w:right="-29" w:firstLine="0"/>
              <w:jc w:val="left"/>
              <w:rPr>
                <w:sz w:val="24"/>
              </w:rPr>
            </w:pPr>
            <w:r>
              <w:rPr>
                <w:spacing w:val="-9"/>
                <w:sz w:val="24"/>
              </w:rPr>
              <w:t>维护方案完整、概括所有运维服务内容的日常维护需求</w:t>
            </w:r>
            <w:r>
              <w:rPr>
                <w:spacing w:val="-6"/>
                <w:sz w:val="24"/>
              </w:rPr>
              <w:t>，但方案缺乏针对性，得 </w:t>
            </w:r>
            <w:r>
              <w:rPr>
                <w:spacing w:val="-1"/>
                <w:sz w:val="24"/>
              </w:rPr>
              <w:t>20</w:t>
            </w:r>
            <w:r>
              <w:rPr>
                <w:spacing w:val="-20"/>
                <w:sz w:val="24"/>
              </w:rPr>
              <w:t> 分；</w:t>
            </w:r>
          </w:p>
          <w:p>
            <w:pPr>
              <w:pStyle w:val="TableParagraph"/>
              <w:numPr>
                <w:ilvl w:val="0"/>
                <w:numId w:val="1"/>
              </w:numPr>
              <w:tabs>
                <w:tab w:pos="709" w:val="left" w:leader="none"/>
              </w:tabs>
              <w:spacing w:line="388" w:lineRule="auto" w:before="0" w:after="0"/>
              <w:ind w:left="107" w:right="-29" w:firstLine="0"/>
              <w:jc w:val="left"/>
              <w:rPr>
                <w:sz w:val="24"/>
              </w:rPr>
            </w:pPr>
            <w:r>
              <w:rPr>
                <w:spacing w:val="-9"/>
                <w:sz w:val="24"/>
              </w:rPr>
              <w:t>维护方案片面、基本概括运维服务内容的日常维护需求</w:t>
            </w:r>
            <w:r>
              <w:rPr>
                <w:spacing w:val="-22"/>
                <w:sz w:val="24"/>
              </w:rPr>
              <w:t>，得 </w:t>
            </w:r>
            <w:r>
              <w:rPr>
                <w:spacing w:val="-2"/>
                <w:sz w:val="24"/>
              </w:rPr>
              <w:t>15</w:t>
            </w:r>
            <w:r>
              <w:rPr>
                <w:spacing w:val="-22"/>
                <w:sz w:val="24"/>
              </w:rPr>
              <w:t> 分；</w:t>
            </w:r>
          </w:p>
          <w:p>
            <w:pPr>
              <w:pStyle w:val="TableParagraph"/>
              <w:numPr>
                <w:ilvl w:val="0"/>
                <w:numId w:val="1"/>
              </w:numPr>
              <w:tabs>
                <w:tab w:pos="709" w:val="left" w:leader="none"/>
              </w:tabs>
              <w:spacing w:line="391" w:lineRule="auto" w:before="1" w:after="0"/>
              <w:ind w:left="107" w:right="95" w:firstLine="0"/>
              <w:jc w:val="left"/>
              <w:rPr>
                <w:sz w:val="24"/>
              </w:rPr>
            </w:pPr>
            <w:r>
              <w:rPr>
                <w:sz w:val="24"/>
              </w:rPr>
              <w:t>维护方案的内容不全面，未概括运维服务内容的日常</w:t>
            </w:r>
            <w:r>
              <w:rPr>
                <w:spacing w:val="-10"/>
                <w:sz w:val="24"/>
              </w:rPr>
              <w:t>维护需求等，得 </w:t>
            </w:r>
            <w:r>
              <w:rPr>
                <w:spacing w:val="-1"/>
                <w:sz w:val="24"/>
              </w:rPr>
              <w:t>7</w:t>
            </w:r>
            <w:r>
              <w:rPr>
                <w:spacing w:val="-21"/>
                <w:sz w:val="24"/>
              </w:rPr>
              <w:t> 分；</w:t>
            </w:r>
          </w:p>
          <w:p>
            <w:pPr>
              <w:pStyle w:val="TableParagraph"/>
              <w:numPr>
                <w:ilvl w:val="0"/>
                <w:numId w:val="1"/>
              </w:numPr>
              <w:tabs>
                <w:tab w:pos="709" w:val="left" w:leader="none"/>
              </w:tabs>
              <w:spacing w:line="306" w:lineRule="exact" w:before="0" w:after="0"/>
              <w:ind w:left="708" w:right="0" w:hanging="602"/>
              <w:jc w:val="left"/>
              <w:rPr>
                <w:sz w:val="24"/>
              </w:rPr>
            </w:pPr>
            <w:r>
              <w:rPr>
                <w:sz w:val="24"/>
              </w:rPr>
              <w:t>未提供相关内容不得分。</w:t>
            </w:r>
          </w:p>
        </w:tc>
      </w:tr>
      <w:tr>
        <w:trPr>
          <w:trHeight w:val="5998" w:hRule="atLeast"/>
        </w:trPr>
        <w:tc>
          <w:tcPr>
            <w:tcW w:w="1226" w:type="dxa"/>
            <w:vMerge/>
            <w:tcBorders>
              <w:top w:val="nil"/>
            </w:tcBorders>
          </w:tcPr>
          <w:p>
            <w:pPr>
              <w:rPr>
                <w:sz w:val="2"/>
                <w:szCs w:val="2"/>
              </w:rPr>
            </w:pPr>
          </w:p>
        </w:tc>
        <w:tc>
          <w:tcPr>
            <w:tcW w:w="128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7"/>
              </w:rPr>
            </w:pPr>
          </w:p>
          <w:p>
            <w:pPr>
              <w:pStyle w:val="TableParagraph"/>
              <w:ind w:left="160"/>
              <w:rPr>
                <w:sz w:val="24"/>
              </w:rPr>
            </w:pPr>
            <w:r>
              <w:rPr>
                <w:sz w:val="24"/>
              </w:rPr>
              <w:t>项目管理</w:t>
            </w:r>
          </w:p>
          <w:p>
            <w:pPr>
              <w:pStyle w:val="TableParagraph"/>
              <w:spacing w:before="4"/>
              <w:ind w:left="131"/>
              <w:rPr>
                <w:sz w:val="24"/>
              </w:rPr>
            </w:pPr>
            <w:r>
              <w:rPr>
                <w:w w:val="95"/>
                <w:sz w:val="24"/>
              </w:rPr>
              <w:t>（20</w:t>
            </w:r>
            <w:r>
              <w:rPr>
                <w:spacing w:val="-4"/>
                <w:w w:val="95"/>
                <w:sz w:val="24"/>
              </w:rPr>
              <w:t> 分</w:t>
            </w:r>
            <w:r>
              <w:rPr>
                <w:w w:val="95"/>
                <w:sz w:val="24"/>
              </w:rPr>
              <w:t>）</w:t>
            </w:r>
          </w:p>
        </w:tc>
        <w:tc>
          <w:tcPr>
            <w:tcW w:w="6530" w:type="dxa"/>
          </w:tcPr>
          <w:p>
            <w:pPr>
              <w:pStyle w:val="TableParagraph"/>
              <w:spacing w:line="388" w:lineRule="auto" w:before="162"/>
              <w:ind w:left="107" w:right="170"/>
              <w:rPr>
                <w:sz w:val="24"/>
              </w:rPr>
            </w:pPr>
            <w:r>
              <w:rPr>
                <w:spacing w:val="-1"/>
                <w:sz w:val="24"/>
              </w:rPr>
              <w:t>根据项目管理方案中的工作安排与计划、实施组织管理、项</w:t>
            </w:r>
            <w:r>
              <w:rPr>
                <w:sz w:val="24"/>
              </w:rPr>
              <w:t>目保障措施、项目培训等内容进行评定：</w:t>
            </w:r>
          </w:p>
          <w:p>
            <w:pPr>
              <w:pStyle w:val="TableParagraph"/>
              <w:numPr>
                <w:ilvl w:val="0"/>
                <w:numId w:val="2"/>
              </w:numPr>
              <w:tabs>
                <w:tab w:pos="709" w:val="left" w:leader="none"/>
              </w:tabs>
              <w:spacing w:line="391" w:lineRule="auto" w:before="2" w:after="0"/>
              <w:ind w:left="107" w:right="98" w:firstLine="0"/>
              <w:jc w:val="left"/>
              <w:rPr>
                <w:sz w:val="24"/>
              </w:rPr>
            </w:pPr>
            <w:r>
              <w:rPr>
                <w:spacing w:val="-2"/>
                <w:sz w:val="24"/>
              </w:rPr>
              <w:t>工作安排详细合理、描述准确，项目实施组织管理非常</w:t>
            </w:r>
            <w:r>
              <w:rPr>
                <w:spacing w:val="-3"/>
                <w:sz w:val="24"/>
              </w:rPr>
              <w:t>清晰，项目保障措施有力、培训方案清晰合理，得 </w:t>
            </w:r>
            <w:r>
              <w:rPr>
                <w:sz w:val="24"/>
              </w:rPr>
              <w:t>20</w:t>
            </w:r>
            <w:r>
              <w:rPr>
                <w:spacing w:val="-20"/>
                <w:sz w:val="24"/>
              </w:rPr>
              <w:t> 分；</w:t>
            </w:r>
          </w:p>
          <w:p>
            <w:pPr>
              <w:pStyle w:val="TableParagraph"/>
              <w:numPr>
                <w:ilvl w:val="0"/>
                <w:numId w:val="2"/>
              </w:numPr>
              <w:tabs>
                <w:tab w:pos="709" w:val="left" w:leader="none"/>
              </w:tabs>
              <w:spacing w:line="391" w:lineRule="auto" w:before="0" w:after="0"/>
              <w:ind w:left="107" w:right="95" w:firstLine="0"/>
              <w:jc w:val="both"/>
              <w:rPr>
                <w:sz w:val="24"/>
              </w:rPr>
            </w:pPr>
            <w:r>
              <w:rPr>
                <w:spacing w:val="-2"/>
                <w:sz w:val="24"/>
              </w:rPr>
              <w:t>工作安排有一定针对性、描述较准确，项目实施组织管</w:t>
            </w:r>
            <w:r>
              <w:rPr>
                <w:spacing w:val="-3"/>
                <w:sz w:val="24"/>
              </w:rPr>
              <w:t>理良好，具备一定的项目保障措施，培训方案较合理，得 </w:t>
            </w:r>
            <w:r>
              <w:rPr>
                <w:sz w:val="24"/>
              </w:rPr>
              <w:t>15</w:t>
            </w:r>
            <w:r>
              <w:rPr>
                <w:spacing w:val="-118"/>
                <w:sz w:val="24"/>
              </w:rPr>
              <w:t> </w:t>
            </w:r>
            <w:r>
              <w:rPr>
                <w:sz w:val="24"/>
              </w:rPr>
              <w:t>分；</w:t>
            </w:r>
          </w:p>
          <w:p>
            <w:pPr>
              <w:pStyle w:val="TableParagraph"/>
              <w:numPr>
                <w:ilvl w:val="0"/>
                <w:numId w:val="2"/>
              </w:numPr>
              <w:tabs>
                <w:tab w:pos="709" w:val="left" w:leader="none"/>
              </w:tabs>
              <w:spacing w:line="388" w:lineRule="auto" w:before="0" w:after="0"/>
              <w:ind w:left="107" w:right="95" w:firstLine="0"/>
              <w:jc w:val="both"/>
              <w:rPr>
                <w:sz w:val="24"/>
              </w:rPr>
            </w:pPr>
            <w:r>
              <w:rPr>
                <w:spacing w:val="-2"/>
                <w:sz w:val="24"/>
              </w:rPr>
              <w:t>工作安排具体，项目实施组织管理一般，项目保障措施</w:t>
            </w:r>
            <w:r>
              <w:rPr>
                <w:spacing w:val="-5"/>
                <w:sz w:val="24"/>
              </w:rPr>
              <w:t>薄弱，培训方案一般，得 </w:t>
            </w:r>
            <w:r>
              <w:rPr>
                <w:sz w:val="24"/>
              </w:rPr>
              <w:t>10</w:t>
            </w:r>
            <w:r>
              <w:rPr>
                <w:spacing w:val="-20"/>
                <w:sz w:val="24"/>
              </w:rPr>
              <w:t> 分；</w:t>
            </w:r>
          </w:p>
          <w:p>
            <w:pPr>
              <w:pStyle w:val="TableParagraph"/>
              <w:numPr>
                <w:ilvl w:val="0"/>
                <w:numId w:val="2"/>
              </w:numPr>
              <w:tabs>
                <w:tab w:pos="709" w:val="left" w:leader="none"/>
              </w:tabs>
              <w:spacing w:line="388" w:lineRule="auto" w:before="0" w:after="0"/>
              <w:ind w:left="107" w:right="95" w:firstLine="0"/>
              <w:jc w:val="both"/>
              <w:rPr>
                <w:sz w:val="24"/>
              </w:rPr>
            </w:pPr>
            <w:r>
              <w:rPr>
                <w:spacing w:val="-2"/>
                <w:sz w:val="24"/>
              </w:rPr>
              <w:t>工作安排不具体，项目实施组织管理不够规范，无对应</w:t>
            </w:r>
            <w:r>
              <w:rPr>
                <w:spacing w:val="-4"/>
                <w:sz w:val="24"/>
              </w:rPr>
              <w:t>保障措施，培训方案不合理，得 </w:t>
            </w:r>
            <w:r>
              <w:rPr>
                <w:sz w:val="24"/>
              </w:rPr>
              <w:t>7</w:t>
            </w:r>
            <w:r>
              <w:rPr>
                <w:spacing w:val="-20"/>
                <w:sz w:val="24"/>
              </w:rPr>
              <w:t> 分；</w:t>
            </w:r>
          </w:p>
          <w:p>
            <w:pPr>
              <w:pStyle w:val="TableParagraph"/>
              <w:numPr>
                <w:ilvl w:val="0"/>
                <w:numId w:val="2"/>
              </w:numPr>
              <w:tabs>
                <w:tab w:pos="709" w:val="left" w:leader="none"/>
              </w:tabs>
              <w:spacing w:line="240" w:lineRule="auto" w:before="1" w:after="0"/>
              <w:ind w:left="708" w:right="0" w:hanging="602"/>
              <w:jc w:val="left"/>
              <w:rPr>
                <w:sz w:val="24"/>
              </w:rPr>
            </w:pPr>
            <w:r>
              <w:rPr>
                <w:sz w:val="24"/>
              </w:rPr>
              <w:t>未提供方案不得分。</w:t>
            </w:r>
          </w:p>
        </w:tc>
      </w:tr>
    </w:tbl>
    <w:p>
      <w:pPr>
        <w:spacing w:after="0" w:line="240" w:lineRule="auto"/>
        <w:jc w:val="left"/>
        <w:rPr>
          <w:sz w:val="24"/>
        </w:rPr>
        <w:sectPr>
          <w:pgSz w:w="11910" w:h="16840"/>
          <w:pgMar w:top="1420" w:bottom="280" w:left="1320" w:right="13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6"/>
        <w:gridCol w:w="1284"/>
        <w:gridCol w:w="6530"/>
      </w:tblGrid>
      <w:tr>
        <w:trPr>
          <w:trHeight w:val="2500" w:hRule="atLeast"/>
        </w:trPr>
        <w:tc>
          <w:tcPr>
            <w:tcW w:w="1226" w:type="dxa"/>
          </w:tcPr>
          <w:p>
            <w:pPr>
              <w:pStyle w:val="TableParagraph"/>
              <w:rPr>
                <w:rFonts w:ascii="Times New Roman"/>
                <w:sz w:val="24"/>
              </w:rPr>
            </w:pPr>
          </w:p>
        </w:tc>
        <w:tc>
          <w:tcPr>
            <w:tcW w:w="1284" w:type="dxa"/>
          </w:tcPr>
          <w:p>
            <w:pPr>
              <w:pStyle w:val="TableParagraph"/>
              <w:rPr>
                <w:sz w:val="24"/>
              </w:rPr>
            </w:pPr>
          </w:p>
          <w:p>
            <w:pPr>
              <w:pStyle w:val="TableParagraph"/>
              <w:rPr>
                <w:sz w:val="24"/>
              </w:rPr>
            </w:pPr>
          </w:p>
          <w:p>
            <w:pPr>
              <w:pStyle w:val="TableParagraph"/>
              <w:spacing w:before="3"/>
              <w:rPr>
                <w:sz w:val="25"/>
              </w:rPr>
            </w:pPr>
          </w:p>
          <w:p>
            <w:pPr>
              <w:pStyle w:val="TableParagraph"/>
              <w:spacing w:before="1"/>
              <w:ind w:left="160"/>
              <w:rPr>
                <w:sz w:val="24"/>
              </w:rPr>
            </w:pPr>
            <w:r>
              <w:rPr>
                <w:sz w:val="24"/>
              </w:rPr>
              <w:t>服务承诺</w:t>
            </w:r>
          </w:p>
          <w:p>
            <w:pPr>
              <w:pStyle w:val="TableParagraph"/>
              <w:spacing w:before="4"/>
              <w:ind w:left="131"/>
              <w:rPr>
                <w:sz w:val="24"/>
              </w:rPr>
            </w:pPr>
            <w:r>
              <w:rPr>
                <w:w w:val="95"/>
                <w:sz w:val="24"/>
              </w:rPr>
              <w:t>（10</w:t>
            </w:r>
            <w:r>
              <w:rPr>
                <w:spacing w:val="-4"/>
                <w:w w:val="95"/>
                <w:sz w:val="24"/>
              </w:rPr>
              <w:t> 分</w:t>
            </w:r>
            <w:r>
              <w:rPr>
                <w:w w:val="95"/>
                <w:sz w:val="24"/>
              </w:rPr>
              <w:t>）</w:t>
            </w:r>
          </w:p>
        </w:tc>
        <w:tc>
          <w:tcPr>
            <w:tcW w:w="6530" w:type="dxa"/>
          </w:tcPr>
          <w:p>
            <w:pPr>
              <w:pStyle w:val="TableParagraph"/>
              <w:spacing w:before="161"/>
              <w:ind w:left="107" w:right="-29"/>
              <w:rPr>
                <w:sz w:val="24"/>
              </w:rPr>
            </w:pPr>
            <w:r>
              <w:rPr>
                <w:spacing w:val="1"/>
                <w:sz w:val="24"/>
              </w:rPr>
              <w:t>投标人承诺在接到采购人服务需求</w:t>
            </w:r>
            <w:r>
              <w:rPr>
                <w:sz w:val="24"/>
              </w:rPr>
              <w:t>1</w:t>
            </w:r>
            <w:r>
              <w:rPr>
                <w:spacing w:val="-10"/>
                <w:sz w:val="24"/>
              </w:rPr>
              <w:t> 小时内赶到现场处理的，</w:t>
            </w:r>
          </w:p>
          <w:p>
            <w:pPr>
              <w:pStyle w:val="TableParagraph"/>
              <w:spacing w:before="192"/>
              <w:ind w:left="107"/>
              <w:rPr>
                <w:sz w:val="24"/>
              </w:rPr>
            </w:pPr>
            <w:r>
              <w:rPr>
                <w:spacing w:val="-31"/>
                <w:sz w:val="24"/>
              </w:rPr>
              <w:t>得 </w:t>
            </w:r>
            <w:r>
              <w:rPr>
                <w:spacing w:val="-2"/>
                <w:sz w:val="24"/>
              </w:rPr>
              <w:t>10</w:t>
            </w:r>
            <w:r>
              <w:rPr>
                <w:spacing w:val="-19"/>
                <w:sz w:val="24"/>
              </w:rPr>
              <w:t> 分；承诺在 </w:t>
            </w:r>
            <w:r>
              <w:rPr>
                <w:spacing w:val="-2"/>
                <w:sz w:val="24"/>
              </w:rPr>
              <w:t>2</w:t>
            </w:r>
            <w:r>
              <w:rPr>
                <w:spacing w:val="-14"/>
                <w:sz w:val="24"/>
              </w:rPr>
              <w:t> 小时内赶到现场处理的，得 </w:t>
            </w:r>
            <w:r>
              <w:rPr>
                <w:spacing w:val="-1"/>
                <w:sz w:val="24"/>
              </w:rPr>
              <w:t>8</w:t>
            </w:r>
            <w:r>
              <w:rPr>
                <w:spacing w:val="-11"/>
                <w:sz w:val="24"/>
              </w:rPr>
              <w:t> 分；承诺在</w:t>
            </w:r>
          </w:p>
          <w:p>
            <w:pPr>
              <w:pStyle w:val="TableParagraph"/>
              <w:spacing w:before="192"/>
              <w:ind w:left="107"/>
              <w:rPr>
                <w:sz w:val="24"/>
              </w:rPr>
            </w:pPr>
            <w:r>
              <w:rPr>
                <w:sz w:val="24"/>
              </w:rPr>
              <w:t>4</w:t>
            </w:r>
            <w:r>
              <w:rPr>
                <w:spacing w:val="-12"/>
                <w:sz w:val="24"/>
              </w:rPr>
              <w:t> 小时内赶到现场处理，得 </w:t>
            </w:r>
            <w:r>
              <w:rPr>
                <w:sz w:val="24"/>
              </w:rPr>
              <w:t>5</w:t>
            </w:r>
            <w:r>
              <w:rPr>
                <w:spacing w:val="-8"/>
                <w:sz w:val="24"/>
              </w:rPr>
              <w:t> 分；其他情况不得分。</w:t>
            </w:r>
          </w:p>
          <w:p>
            <w:pPr>
              <w:pStyle w:val="TableParagraph"/>
              <w:spacing w:line="500" w:lineRule="atLeast" w:before="36"/>
              <w:ind w:left="107" w:right="-29"/>
              <w:rPr>
                <w:rFonts w:ascii="Microsoft JhengHei" w:eastAsia="Microsoft JhengHei" w:hint="eastAsia"/>
                <w:b/>
                <w:sz w:val="24"/>
              </w:rPr>
            </w:pPr>
            <w:r>
              <w:rPr>
                <w:rFonts w:ascii="Microsoft JhengHei" w:eastAsia="Microsoft JhengHei" w:hint="eastAsia"/>
                <w:b/>
                <w:spacing w:val="-18"/>
                <w:sz w:val="24"/>
              </w:rPr>
              <w:t>注：需提供服务响应时间承诺</w:t>
            </w:r>
            <w:r>
              <w:rPr>
                <w:rFonts w:ascii="Microsoft JhengHei" w:eastAsia="Microsoft JhengHei" w:hint="eastAsia"/>
                <w:b/>
                <w:sz w:val="24"/>
              </w:rPr>
              <w:t>（承诺函格式自拟并加盖公章</w:t>
            </w:r>
            <w:r>
              <w:rPr>
                <w:rFonts w:ascii="Microsoft JhengHei" w:eastAsia="Microsoft JhengHei" w:hint="eastAsia"/>
                <w:b/>
                <w:spacing w:val="-120"/>
                <w:sz w:val="24"/>
              </w:rPr>
              <w:t>）</w:t>
            </w:r>
            <w:r>
              <w:rPr>
                <w:rFonts w:ascii="Microsoft JhengHei" w:eastAsia="Microsoft JhengHei" w:hint="eastAsia"/>
                <w:b/>
                <w:sz w:val="24"/>
              </w:rPr>
              <w:t>，</w:t>
            </w:r>
            <w:r>
              <w:rPr>
                <w:rFonts w:ascii="Microsoft JhengHei" w:eastAsia="Microsoft JhengHei" w:hint="eastAsia"/>
                <w:b/>
                <w:sz w:val="24"/>
              </w:rPr>
              <w:t>未提供或提供的资料不符合要求的，不得分。</w:t>
            </w:r>
          </w:p>
        </w:tc>
      </w:tr>
      <w:tr>
        <w:trPr>
          <w:trHeight w:val="575" w:hRule="atLeast"/>
        </w:trPr>
        <w:tc>
          <w:tcPr>
            <w:tcW w:w="9040" w:type="dxa"/>
            <w:gridSpan w:val="3"/>
          </w:tcPr>
          <w:p>
            <w:pPr>
              <w:pStyle w:val="TableParagraph"/>
              <w:spacing w:line="467" w:lineRule="exact" w:before="88"/>
              <w:ind w:left="3080" w:right="3073"/>
              <w:jc w:val="center"/>
              <w:rPr>
                <w:rFonts w:ascii="Microsoft JhengHei" w:eastAsia="Microsoft JhengHei" w:hint="eastAsia"/>
                <w:b/>
                <w:sz w:val="28"/>
              </w:rPr>
            </w:pPr>
            <w:r>
              <w:rPr>
                <w:rFonts w:ascii="Microsoft JhengHei" w:eastAsia="Microsoft JhengHei" w:hint="eastAsia"/>
                <w:b/>
                <w:w w:val="95"/>
                <w:sz w:val="28"/>
              </w:rPr>
              <w:t>2、商务部分（30）</w:t>
            </w:r>
          </w:p>
        </w:tc>
      </w:tr>
      <w:tr>
        <w:trPr>
          <w:trHeight w:val="2000" w:hRule="atLeast"/>
        </w:trPr>
        <w:tc>
          <w:tcPr>
            <w:tcW w:w="1226"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26"/>
              </w:rPr>
            </w:pPr>
          </w:p>
          <w:p>
            <w:pPr>
              <w:pStyle w:val="TableParagraph"/>
              <w:ind w:left="107"/>
              <w:rPr>
                <w:sz w:val="24"/>
              </w:rPr>
            </w:pPr>
            <w:r>
              <w:rPr>
                <w:sz w:val="24"/>
              </w:rPr>
              <w:t>综合实力</w:t>
            </w:r>
          </w:p>
          <w:p>
            <w:pPr>
              <w:pStyle w:val="TableParagraph"/>
              <w:spacing w:before="5"/>
              <w:ind w:left="107"/>
              <w:rPr>
                <w:sz w:val="24"/>
              </w:rPr>
            </w:pPr>
            <w:r>
              <w:rPr>
                <w:w w:val="95"/>
                <w:sz w:val="24"/>
              </w:rPr>
              <w:t>（30</w:t>
            </w:r>
            <w:r>
              <w:rPr>
                <w:spacing w:val="-4"/>
                <w:w w:val="95"/>
                <w:sz w:val="24"/>
              </w:rPr>
              <w:t> 分</w:t>
            </w:r>
            <w:r>
              <w:rPr>
                <w:w w:val="95"/>
                <w:sz w:val="24"/>
              </w:rPr>
              <w:t>）</w:t>
            </w:r>
          </w:p>
        </w:tc>
        <w:tc>
          <w:tcPr>
            <w:tcW w:w="1284" w:type="dxa"/>
          </w:tcPr>
          <w:p>
            <w:pPr>
              <w:pStyle w:val="TableParagraph"/>
              <w:rPr>
                <w:sz w:val="24"/>
              </w:rPr>
            </w:pPr>
          </w:p>
          <w:p>
            <w:pPr>
              <w:pStyle w:val="TableParagraph"/>
              <w:spacing w:before="11"/>
              <w:rPr>
                <w:sz w:val="24"/>
              </w:rPr>
            </w:pPr>
          </w:p>
          <w:p>
            <w:pPr>
              <w:pStyle w:val="TableParagraph"/>
              <w:ind w:left="107"/>
              <w:rPr>
                <w:sz w:val="24"/>
              </w:rPr>
            </w:pPr>
            <w:r>
              <w:rPr>
                <w:sz w:val="24"/>
              </w:rPr>
              <w:t>企业证书</w:t>
            </w:r>
          </w:p>
          <w:p>
            <w:pPr>
              <w:pStyle w:val="TableParagraph"/>
              <w:spacing w:before="5"/>
              <w:ind w:left="131"/>
              <w:rPr>
                <w:sz w:val="24"/>
              </w:rPr>
            </w:pPr>
            <w:r>
              <w:rPr>
                <w:w w:val="95"/>
                <w:sz w:val="24"/>
              </w:rPr>
              <w:t>（10</w:t>
            </w:r>
            <w:r>
              <w:rPr>
                <w:spacing w:val="-4"/>
                <w:w w:val="95"/>
                <w:sz w:val="24"/>
              </w:rPr>
              <w:t> 分</w:t>
            </w:r>
            <w:r>
              <w:rPr>
                <w:w w:val="95"/>
                <w:sz w:val="24"/>
              </w:rPr>
              <w:t>）</w:t>
            </w:r>
          </w:p>
        </w:tc>
        <w:tc>
          <w:tcPr>
            <w:tcW w:w="6530" w:type="dxa"/>
          </w:tcPr>
          <w:p>
            <w:pPr>
              <w:pStyle w:val="TableParagraph"/>
              <w:numPr>
                <w:ilvl w:val="0"/>
                <w:numId w:val="3"/>
              </w:numPr>
              <w:tabs>
                <w:tab w:pos="709" w:val="left" w:leader="none"/>
              </w:tabs>
              <w:spacing w:line="388" w:lineRule="auto" w:before="161" w:after="0"/>
              <w:ind w:left="107" w:right="-29" w:firstLine="0"/>
              <w:jc w:val="left"/>
              <w:rPr>
                <w:sz w:val="24"/>
              </w:rPr>
            </w:pPr>
            <w:r>
              <w:rPr>
                <w:spacing w:val="7"/>
                <w:sz w:val="24"/>
              </w:rPr>
              <w:t>投标人获得</w:t>
            </w:r>
            <w:r>
              <w:rPr>
                <w:sz w:val="24"/>
              </w:rPr>
              <w:t>ISO9001</w:t>
            </w:r>
            <w:r>
              <w:rPr>
                <w:spacing w:val="-21"/>
                <w:sz w:val="24"/>
              </w:rPr>
              <w:t> 质量管理体系认证证书的，得 </w:t>
            </w:r>
            <w:r>
              <w:rPr>
                <w:sz w:val="24"/>
              </w:rPr>
              <w:t>5</w:t>
            </w:r>
            <w:r>
              <w:rPr>
                <w:spacing w:val="-24"/>
                <w:sz w:val="24"/>
              </w:rPr>
              <w:t> 分，</w:t>
            </w:r>
            <w:r>
              <w:rPr>
                <w:spacing w:val="-117"/>
                <w:sz w:val="24"/>
              </w:rPr>
              <w:t> </w:t>
            </w:r>
            <w:r>
              <w:rPr>
                <w:sz w:val="24"/>
              </w:rPr>
              <w:t>没有不得分；</w:t>
            </w:r>
          </w:p>
          <w:p>
            <w:pPr>
              <w:pStyle w:val="TableParagraph"/>
              <w:numPr>
                <w:ilvl w:val="0"/>
                <w:numId w:val="3"/>
              </w:numPr>
              <w:tabs>
                <w:tab w:pos="709" w:val="left" w:leader="none"/>
              </w:tabs>
              <w:spacing w:line="240" w:lineRule="auto" w:before="4" w:after="0"/>
              <w:ind w:left="708" w:right="-29" w:hanging="602"/>
              <w:jc w:val="left"/>
              <w:rPr>
                <w:sz w:val="24"/>
              </w:rPr>
            </w:pPr>
            <w:r>
              <w:rPr>
                <w:spacing w:val="-5"/>
                <w:w w:val="95"/>
                <w:sz w:val="24"/>
              </w:rPr>
              <w:t>投标人获得计算机信息系统安全服务等级证书，得</w:t>
            </w:r>
            <w:r>
              <w:rPr>
                <w:w w:val="95"/>
                <w:sz w:val="24"/>
              </w:rPr>
              <w:t>5</w:t>
            </w:r>
            <w:r>
              <w:rPr>
                <w:spacing w:val="199"/>
                <w:sz w:val="24"/>
              </w:rPr>
              <w:t> </w:t>
            </w:r>
            <w:r>
              <w:rPr>
                <w:w w:val="95"/>
                <w:sz w:val="24"/>
              </w:rPr>
              <w:t>分，</w:t>
            </w:r>
          </w:p>
          <w:p>
            <w:pPr>
              <w:pStyle w:val="TableParagraph"/>
              <w:spacing w:before="192"/>
              <w:ind w:left="107"/>
              <w:rPr>
                <w:sz w:val="24"/>
              </w:rPr>
            </w:pPr>
            <w:r>
              <w:rPr>
                <w:sz w:val="24"/>
              </w:rPr>
              <w:t>没有不得分；</w:t>
            </w:r>
          </w:p>
        </w:tc>
      </w:tr>
      <w:tr>
        <w:trPr>
          <w:trHeight w:val="2000" w:hRule="atLeast"/>
        </w:trPr>
        <w:tc>
          <w:tcPr>
            <w:tcW w:w="1226" w:type="dxa"/>
            <w:vMerge/>
            <w:tcBorders>
              <w:top w:val="nil"/>
            </w:tcBorders>
          </w:tcPr>
          <w:p>
            <w:pPr>
              <w:rPr>
                <w:sz w:val="2"/>
                <w:szCs w:val="2"/>
              </w:rPr>
            </w:pPr>
          </w:p>
        </w:tc>
        <w:tc>
          <w:tcPr>
            <w:tcW w:w="1284" w:type="dxa"/>
          </w:tcPr>
          <w:p>
            <w:pPr>
              <w:pStyle w:val="TableParagraph"/>
              <w:rPr>
                <w:sz w:val="24"/>
              </w:rPr>
            </w:pPr>
          </w:p>
          <w:p>
            <w:pPr>
              <w:pStyle w:val="TableParagraph"/>
              <w:spacing w:before="12"/>
              <w:rPr>
                <w:sz w:val="24"/>
              </w:rPr>
            </w:pPr>
          </w:p>
          <w:p>
            <w:pPr>
              <w:pStyle w:val="TableParagraph"/>
              <w:ind w:left="160"/>
              <w:rPr>
                <w:sz w:val="24"/>
              </w:rPr>
            </w:pPr>
            <w:r>
              <w:rPr>
                <w:sz w:val="24"/>
              </w:rPr>
              <w:t>运维经验</w:t>
            </w:r>
          </w:p>
          <w:p>
            <w:pPr>
              <w:pStyle w:val="TableParagraph"/>
              <w:spacing w:before="5"/>
              <w:ind w:left="131"/>
              <w:rPr>
                <w:sz w:val="24"/>
              </w:rPr>
            </w:pPr>
            <w:r>
              <w:rPr>
                <w:w w:val="95"/>
                <w:sz w:val="24"/>
              </w:rPr>
              <w:t>（20</w:t>
            </w:r>
            <w:r>
              <w:rPr>
                <w:spacing w:val="-4"/>
                <w:w w:val="95"/>
                <w:sz w:val="24"/>
              </w:rPr>
              <w:t> 分</w:t>
            </w:r>
            <w:r>
              <w:rPr>
                <w:w w:val="95"/>
                <w:sz w:val="24"/>
              </w:rPr>
              <w:t>）</w:t>
            </w:r>
          </w:p>
        </w:tc>
        <w:tc>
          <w:tcPr>
            <w:tcW w:w="6530" w:type="dxa"/>
          </w:tcPr>
          <w:p>
            <w:pPr>
              <w:pStyle w:val="TableParagraph"/>
              <w:spacing w:line="388" w:lineRule="auto" w:before="162"/>
              <w:ind w:left="107" w:right="170"/>
              <w:rPr>
                <w:sz w:val="24"/>
              </w:rPr>
            </w:pPr>
            <w:r>
              <w:rPr>
                <w:spacing w:val="-1"/>
                <w:sz w:val="24"/>
              </w:rPr>
              <w:t>投标人承接过住房领域信息化平台相关运维项目，每个项目</w:t>
            </w:r>
            <w:r>
              <w:rPr>
                <w:spacing w:val="-30"/>
                <w:sz w:val="24"/>
              </w:rPr>
              <w:t>得 </w:t>
            </w:r>
            <w:r>
              <w:rPr>
                <w:sz w:val="24"/>
              </w:rPr>
              <w:t>2</w:t>
            </w:r>
            <w:r>
              <w:rPr>
                <w:spacing w:val="-18"/>
                <w:sz w:val="24"/>
              </w:rPr>
              <w:t> 分，最高得 </w:t>
            </w:r>
            <w:r>
              <w:rPr>
                <w:sz w:val="24"/>
              </w:rPr>
              <w:t>20</w:t>
            </w:r>
            <w:r>
              <w:rPr>
                <w:spacing w:val="-20"/>
                <w:sz w:val="24"/>
              </w:rPr>
              <w:t> 分。</w:t>
            </w:r>
          </w:p>
          <w:p>
            <w:pPr>
              <w:pStyle w:val="TableParagraph"/>
              <w:spacing w:line="364" w:lineRule="exact"/>
              <w:ind w:left="107"/>
              <w:rPr>
                <w:rFonts w:ascii="Microsoft JhengHei" w:eastAsia="Microsoft JhengHei" w:hint="eastAsia"/>
                <w:b/>
                <w:sz w:val="24"/>
              </w:rPr>
            </w:pPr>
            <w:r>
              <w:rPr>
                <w:rFonts w:ascii="Microsoft JhengHei" w:eastAsia="Microsoft JhengHei" w:hint="eastAsia"/>
                <w:b/>
                <w:sz w:val="24"/>
              </w:rPr>
              <w:t>注：证明材料为合同，投标文件提供合同关键页复印件并加</w:t>
            </w:r>
          </w:p>
          <w:p>
            <w:pPr>
              <w:pStyle w:val="TableParagraph"/>
              <w:spacing w:line="397" w:lineRule="exact" w:before="60"/>
              <w:ind w:left="107"/>
              <w:rPr>
                <w:rFonts w:ascii="Microsoft JhengHei" w:eastAsia="Microsoft JhengHei" w:hint="eastAsia"/>
                <w:b/>
                <w:sz w:val="24"/>
              </w:rPr>
            </w:pPr>
            <w:r>
              <w:rPr>
                <w:rFonts w:ascii="Microsoft JhengHei" w:eastAsia="Microsoft JhengHei" w:hint="eastAsia"/>
                <w:b/>
                <w:sz w:val="24"/>
              </w:rPr>
              <w:t>盖公章，合同必须为投标人单位名称签订，否则不得分。</w:t>
            </w:r>
          </w:p>
        </w:tc>
      </w:tr>
      <w:tr>
        <w:trPr>
          <w:trHeight w:val="578" w:hRule="atLeast"/>
        </w:trPr>
        <w:tc>
          <w:tcPr>
            <w:tcW w:w="9040" w:type="dxa"/>
            <w:gridSpan w:val="3"/>
          </w:tcPr>
          <w:p>
            <w:pPr>
              <w:pStyle w:val="TableParagraph"/>
              <w:spacing w:line="468" w:lineRule="exact" w:before="91"/>
              <w:ind w:left="3080" w:right="3073"/>
              <w:jc w:val="center"/>
              <w:rPr>
                <w:rFonts w:ascii="Microsoft JhengHei" w:eastAsia="Microsoft JhengHei" w:hint="eastAsia"/>
                <w:b/>
                <w:sz w:val="28"/>
              </w:rPr>
            </w:pPr>
            <w:r>
              <w:rPr>
                <w:rFonts w:ascii="Microsoft JhengHei" w:eastAsia="Microsoft JhengHei" w:hint="eastAsia"/>
                <w:b/>
                <w:sz w:val="28"/>
              </w:rPr>
              <w:t>3、经济价格（10</w:t>
            </w:r>
            <w:r>
              <w:rPr>
                <w:rFonts w:ascii="Microsoft JhengHei" w:eastAsia="Microsoft JhengHei" w:hint="eastAsia"/>
                <w:b/>
                <w:spacing w:val="13"/>
                <w:sz w:val="28"/>
              </w:rPr>
              <w:t> 分</w:t>
            </w:r>
            <w:r>
              <w:rPr>
                <w:rFonts w:ascii="Microsoft JhengHei" w:eastAsia="Microsoft JhengHei" w:hint="eastAsia"/>
                <w:b/>
                <w:sz w:val="28"/>
              </w:rPr>
              <w:t>）</w:t>
            </w:r>
          </w:p>
        </w:tc>
      </w:tr>
      <w:tr>
        <w:trPr>
          <w:trHeight w:val="578" w:hRule="atLeast"/>
        </w:trPr>
        <w:tc>
          <w:tcPr>
            <w:tcW w:w="1226" w:type="dxa"/>
          </w:tcPr>
          <w:p>
            <w:pPr>
              <w:pStyle w:val="TableParagraph"/>
              <w:spacing w:before="136"/>
              <w:ind w:right="122"/>
              <w:jc w:val="right"/>
              <w:rPr>
                <w:sz w:val="24"/>
              </w:rPr>
            </w:pPr>
            <w:r>
              <w:rPr>
                <w:sz w:val="24"/>
              </w:rPr>
              <w:t>评审指标</w:t>
            </w:r>
          </w:p>
        </w:tc>
        <w:tc>
          <w:tcPr>
            <w:tcW w:w="1284" w:type="dxa"/>
          </w:tcPr>
          <w:p>
            <w:pPr>
              <w:pStyle w:val="TableParagraph"/>
              <w:spacing w:before="136"/>
              <w:ind w:left="349" w:right="342"/>
              <w:jc w:val="center"/>
              <w:rPr>
                <w:sz w:val="24"/>
              </w:rPr>
            </w:pPr>
            <w:r>
              <w:rPr>
                <w:sz w:val="24"/>
              </w:rPr>
              <w:t>分值</w:t>
            </w:r>
          </w:p>
        </w:tc>
        <w:tc>
          <w:tcPr>
            <w:tcW w:w="6530" w:type="dxa"/>
          </w:tcPr>
          <w:p>
            <w:pPr>
              <w:pStyle w:val="TableParagraph"/>
              <w:spacing w:before="6"/>
              <w:rPr>
                <w:sz w:val="17"/>
              </w:rPr>
            </w:pPr>
          </w:p>
          <w:p>
            <w:pPr>
              <w:pStyle w:val="TableParagraph"/>
              <w:spacing w:before="1"/>
              <w:ind w:left="2163" w:right="2156"/>
              <w:jc w:val="center"/>
              <w:rPr>
                <w:sz w:val="24"/>
              </w:rPr>
            </w:pPr>
            <w:r>
              <w:rPr>
                <w:sz w:val="24"/>
              </w:rPr>
              <w:t>评分细则及分值范围</w:t>
            </w:r>
          </w:p>
        </w:tc>
      </w:tr>
      <w:tr>
        <w:trPr>
          <w:trHeight w:val="2000" w:hRule="atLeast"/>
        </w:trPr>
        <w:tc>
          <w:tcPr>
            <w:tcW w:w="1226" w:type="dxa"/>
          </w:tcPr>
          <w:p>
            <w:pPr>
              <w:pStyle w:val="TableParagraph"/>
              <w:rPr>
                <w:sz w:val="24"/>
              </w:rPr>
            </w:pPr>
          </w:p>
          <w:p>
            <w:pPr>
              <w:pStyle w:val="TableParagraph"/>
              <w:rPr>
                <w:sz w:val="24"/>
              </w:rPr>
            </w:pPr>
          </w:p>
          <w:p>
            <w:pPr>
              <w:pStyle w:val="TableParagraph"/>
              <w:spacing w:before="2"/>
              <w:rPr>
                <w:sz w:val="18"/>
              </w:rPr>
            </w:pPr>
          </w:p>
          <w:p>
            <w:pPr>
              <w:pStyle w:val="TableParagraph"/>
              <w:ind w:right="122"/>
              <w:jc w:val="right"/>
              <w:rPr>
                <w:sz w:val="24"/>
              </w:rPr>
            </w:pPr>
            <w:r>
              <w:rPr>
                <w:sz w:val="24"/>
              </w:rPr>
              <w:t>经济价格</w:t>
            </w:r>
          </w:p>
        </w:tc>
        <w:tc>
          <w:tcPr>
            <w:tcW w:w="1284" w:type="dxa"/>
          </w:tcPr>
          <w:p>
            <w:pPr>
              <w:pStyle w:val="TableParagraph"/>
              <w:rPr>
                <w:sz w:val="24"/>
              </w:rPr>
            </w:pPr>
          </w:p>
          <w:p>
            <w:pPr>
              <w:pStyle w:val="TableParagraph"/>
              <w:rPr>
                <w:sz w:val="24"/>
              </w:rPr>
            </w:pPr>
          </w:p>
          <w:p>
            <w:pPr>
              <w:pStyle w:val="TableParagraph"/>
              <w:spacing w:before="2"/>
              <w:rPr>
                <w:sz w:val="18"/>
              </w:rPr>
            </w:pPr>
          </w:p>
          <w:p>
            <w:pPr>
              <w:pStyle w:val="TableParagraph"/>
              <w:ind w:left="351" w:right="342"/>
              <w:jc w:val="center"/>
              <w:rPr>
                <w:sz w:val="24"/>
              </w:rPr>
            </w:pPr>
            <w:r>
              <w:rPr>
                <w:sz w:val="24"/>
              </w:rPr>
              <w:t>10</w:t>
            </w:r>
            <w:r>
              <w:rPr>
                <w:spacing w:val="-30"/>
                <w:sz w:val="24"/>
              </w:rPr>
              <w:t> 分</w:t>
            </w:r>
          </w:p>
        </w:tc>
        <w:tc>
          <w:tcPr>
            <w:tcW w:w="6530" w:type="dxa"/>
          </w:tcPr>
          <w:p>
            <w:pPr>
              <w:pStyle w:val="TableParagraph"/>
              <w:spacing w:before="161"/>
              <w:ind w:left="107"/>
              <w:rPr>
                <w:sz w:val="24"/>
              </w:rPr>
            </w:pPr>
            <w:r>
              <w:rPr>
                <w:sz w:val="24"/>
              </w:rPr>
              <w:t>经济价格标得分=(评标基准价/投标报价)×100×10%</w:t>
            </w:r>
          </w:p>
          <w:p>
            <w:pPr>
              <w:pStyle w:val="TableParagraph"/>
              <w:spacing w:before="192"/>
              <w:ind w:left="107"/>
              <w:rPr>
                <w:sz w:val="24"/>
              </w:rPr>
            </w:pPr>
            <w:r>
              <w:rPr>
                <w:sz w:val="24"/>
              </w:rPr>
              <w:t>上述公式中的“评标基准价”是指满足项目采购需求且经评</w:t>
            </w:r>
          </w:p>
          <w:p>
            <w:pPr>
              <w:pStyle w:val="TableParagraph"/>
              <w:spacing w:line="500" w:lineRule="atLeast" w:before="1"/>
              <w:ind w:left="107" w:right="98"/>
              <w:rPr>
                <w:sz w:val="24"/>
              </w:rPr>
            </w:pPr>
            <w:r>
              <w:rPr>
                <w:sz w:val="24"/>
              </w:rPr>
              <w:t>审后的最低评审价格，其价格分为满分。上述公式中的“投标报价”是指经评审后的投标报价。</w:t>
            </w:r>
          </w:p>
        </w:tc>
      </w:tr>
    </w:tbl>
    <w:sectPr>
      <w:pgSz w:w="11910" w:h="16840"/>
      <w:pgMar w:top="14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Microsoft JhengHei">
    <w:altName w:val="Microsoft JhengHe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7"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742" w:hanging="601"/>
      </w:pPr>
      <w:rPr>
        <w:rFonts w:hint="default"/>
        <w:lang w:val="en-US" w:eastAsia="zh-CN" w:bidi="ar-SA"/>
      </w:rPr>
    </w:lvl>
    <w:lvl w:ilvl="2">
      <w:start w:val="0"/>
      <w:numFmt w:val="bullet"/>
      <w:lvlText w:val="•"/>
      <w:lvlJc w:val="left"/>
      <w:pPr>
        <w:ind w:left="1384" w:hanging="601"/>
      </w:pPr>
      <w:rPr>
        <w:rFonts w:hint="default"/>
        <w:lang w:val="en-US" w:eastAsia="zh-CN" w:bidi="ar-SA"/>
      </w:rPr>
    </w:lvl>
    <w:lvl w:ilvl="3">
      <w:start w:val="0"/>
      <w:numFmt w:val="bullet"/>
      <w:lvlText w:val="•"/>
      <w:lvlJc w:val="left"/>
      <w:pPr>
        <w:ind w:left="2026" w:hanging="601"/>
      </w:pPr>
      <w:rPr>
        <w:rFonts w:hint="default"/>
        <w:lang w:val="en-US" w:eastAsia="zh-CN" w:bidi="ar-SA"/>
      </w:rPr>
    </w:lvl>
    <w:lvl w:ilvl="4">
      <w:start w:val="0"/>
      <w:numFmt w:val="bullet"/>
      <w:lvlText w:val="•"/>
      <w:lvlJc w:val="left"/>
      <w:pPr>
        <w:ind w:left="2668" w:hanging="601"/>
      </w:pPr>
      <w:rPr>
        <w:rFonts w:hint="default"/>
        <w:lang w:val="en-US" w:eastAsia="zh-CN" w:bidi="ar-SA"/>
      </w:rPr>
    </w:lvl>
    <w:lvl w:ilvl="5">
      <w:start w:val="0"/>
      <w:numFmt w:val="bullet"/>
      <w:lvlText w:val="•"/>
      <w:lvlJc w:val="left"/>
      <w:pPr>
        <w:ind w:left="3310" w:hanging="601"/>
      </w:pPr>
      <w:rPr>
        <w:rFonts w:hint="default"/>
        <w:lang w:val="en-US" w:eastAsia="zh-CN" w:bidi="ar-SA"/>
      </w:rPr>
    </w:lvl>
    <w:lvl w:ilvl="6">
      <w:start w:val="0"/>
      <w:numFmt w:val="bullet"/>
      <w:lvlText w:val="•"/>
      <w:lvlJc w:val="left"/>
      <w:pPr>
        <w:ind w:left="3952" w:hanging="601"/>
      </w:pPr>
      <w:rPr>
        <w:rFonts w:hint="default"/>
        <w:lang w:val="en-US" w:eastAsia="zh-CN" w:bidi="ar-SA"/>
      </w:rPr>
    </w:lvl>
    <w:lvl w:ilvl="7">
      <w:start w:val="0"/>
      <w:numFmt w:val="bullet"/>
      <w:lvlText w:val="•"/>
      <w:lvlJc w:val="left"/>
      <w:pPr>
        <w:ind w:left="4594" w:hanging="601"/>
      </w:pPr>
      <w:rPr>
        <w:rFonts w:hint="default"/>
        <w:lang w:val="en-US" w:eastAsia="zh-CN" w:bidi="ar-SA"/>
      </w:rPr>
    </w:lvl>
    <w:lvl w:ilvl="8">
      <w:start w:val="0"/>
      <w:numFmt w:val="bullet"/>
      <w:lvlText w:val="•"/>
      <w:lvlJc w:val="left"/>
      <w:pPr>
        <w:ind w:left="5236" w:hanging="601"/>
      </w:pPr>
      <w:rPr>
        <w:rFonts w:hint="default"/>
        <w:lang w:val="en-US" w:eastAsia="zh-CN" w:bidi="ar-SA"/>
      </w:rPr>
    </w:lvl>
  </w:abstractNum>
  <w:abstractNum w:abstractNumId="1">
    <w:multiLevelType w:val="hybridMultilevel"/>
    <w:lvl w:ilvl="0">
      <w:start w:val="1"/>
      <w:numFmt w:val="decimal"/>
      <w:lvlText w:val="（%1）"/>
      <w:lvlJc w:val="left"/>
      <w:pPr>
        <w:ind w:left="107" w:hanging="601"/>
        <w:jc w:val="left"/>
      </w:pPr>
      <w:rPr>
        <w:rFonts w:hint="default" w:ascii="宋体" w:hAnsi="宋体" w:eastAsia="宋体" w:cs="宋体"/>
        <w:b w:val="0"/>
        <w:bCs w:val="0"/>
        <w:i w:val="0"/>
        <w:iCs w:val="0"/>
        <w:spacing w:val="-17"/>
        <w:w w:val="100"/>
        <w:sz w:val="22"/>
        <w:szCs w:val="22"/>
        <w:lang w:val="en-US" w:eastAsia="zh-CN" w:bidi="ar-SA"/>
      </w:rPr>
    </w:lvl>
    <w:lvl w:ilvl="1">
      <w:start w:val="0"/>
      <w:numFmt w:val="bullet"/>
      <w:lvlText w:val="•"/>
      <w:lvlJc w:val="left"/>
      <w:pPr>
        <w:ind w:left="742" w:hanging="601"/>
      </w:pPr>
      <w:rPr>
        <w:rFonts w:hint="default"/>
        <w:lang w:val="en-US" w:eastAsia="zh-CN" w:bidi="ar-SA"/>
      </w:rPr>
    </w:lvl>
    <w:lvl w:ilvl="2">
      <w:start w:val="0"/>
      <w:numFmt w:val="bullet"/>
      <w:lvlText w:val="•"/>
      <w:lvlJc w:val="left"/>
      <w:pPr>
        <w:ind w:left="1384" w:hanging="601"/>
      </w:pPr>
      <w:rPr>
        <w:rFonts w:hint="default"/>
        <w:lang w:val="en-US" w:eastAsia="zh-CN" w:bidi="ar-SA"/>
      </w:rPr>
    </w:lvl>
    <w:lvl w:ilvl="3">
      <w:start w:val="0"/>
      <w:numFmt w:val="bullet"/>
      <w:lvlText w:val="•"/>
      <w:lvlJc w:val="left"/>
      <w:pPr>
        <w:ind w:left="2026" w:hanging="601"/>
      </w:pPr>
      <w:rPr>
        <w:rFonts w:hint="default"/>
        <w:lang w:val="en-US" w:eastAsia="zh-CN" w:bidi="ar-SA"/>
      </w:rPr>
    </w:lvl>
    <w:lvl w:ilvl="4">
      <w:start w:val="0"/>
      <w:numFmt w:val="bullet"/>
      <w:lvlText w:val="•"/>
      <w:lvlJc w:val="left"/>
      <w:pPr>
        <w:ind w:left="2668" w:hanging="601"/>
      </w:pPr>
      <w:rPr>
        <w:rFonts w:hint="default"/>
        <w:lang w:val="en-US" w:eastAsia="zh-CN" w:bidi="ar-SA"/>
      </w:rPr>
    </w:lvl>
    <w:lvl w:ilvl="5">
      <w:start w:val="0"/>
      <w:numFmt w:val="bullet"/>
      <w:lvlText w:val="•"/>
      <w:lvlJc w:val="left"/>
      <w:pPr>
        <w:ind w:left="3310" w:hanging="601"/>
      </w:pPr>
      <w:rPr>
        <w:rFonts w:hint="default"/>
        <w:lang w:val="en-US" w:eastAsia="zh-CN" w:bidi="ar-SA"/>
      </w:rPr>
    </w:lvl>
    <w:lvl w:ilvl="6">
      <w:start w:val="0"/>
      <w:numFmt w:val="bullet"/>
      <w:lvlText w:val="•"/>
      <w:lvlJc w:val="left"/>
      <w:pPr>
        <w:ind w:left="3952" w:hanging="601"/>
      </w:pPr>
      <w:rPr>
        <w:rFonts w:hint="default"/>
        <w:lang w:val="en-US" w:eastAsia="zh-CN" w:bidi="ar-SA"/>
      </w:rPr>
    </w:lvl>
    <w:lvl w:ilvl="7">
      <w:start w:val="0"/>
      <w:numFmt w:val="bullet"/>
      <w:lvlText w:val="•"/>
      <w:lvlJc w:val="left"/>
      <w:pPr>
        <w:ind w:left="4594" w:hanging="601"/>
      </w:pPr>
      <w:rPr>
        <w:rFonts w:hint="default"/>
        <w:lang w:val="en-US" w:eastAsia="zh-CN" w:bidi="ar-SA"/>
      </w:rPr>
    </w:lvl>
    <w:lvl w:ilvl="8">
      <w:start w:val="0"/>
      <w:numFmt w:val="bullet"/>
      <w:lvlText w:val="•"/>
      <w:lvlJc w:val="left"/>
      <w:pPr>
        <w:ind w:left="5236" w:hanging="601"/>
      </w:pPr>
      <w:rPr>
        <w:rFonts w:hint="default"/>
        <w:lang w:val="en-US" w:eastAsia="zh-CN" w:bidi="ar-SA"/>
      </w:rPr>
    </w:lvl>
  </w:abstractNum>
  <w:abstractNum w:abstractNumId="0">
    <w:multiLevelType w:val="hybridMultilevel"/>
    <w:lvl w:ilvl="0">
      <w:start w:val="1"/>
      <w:numFmt w:val="decimal"/>
      <w:lvlText w:val="（%1）"/>
      <w:lvlJc w:val="left"/>
      <w:pPr>
        <w:ind w:left="107" w:hanging="601"/>
        <w:jc w:val="left"/>
      </w:pPr>
      <w:rPr>
        <w:rFonts w:hint="default" w:ascii="宋体" w:hAnsi="宋体" w:eastAsia="宋体" w:cs="宋体"/>
        <w:b w:val="0"/>
        <w:bCs w:val="0"/>
        <w:i w:val="0"/>
        <w:iCs w:val="0"/>
        <w:spacing w:val="-24"/>
        <w:w w:val="100"/>
        <w:sz w:val="22"/>
        <w:szCs w:val="22"/>
        <w:lang w:val="en-US" w:eastAsia="zh-CN" w:bidi="ar-SA"/>
      </w:rPr>
    </w:lvl>
    <w:lvl w:ilvl="1">
      <w:start w:val="0"/>
      <w:numFmt w:val="bullet"/>
      <w:lvlText w:val="•"/>
      <w:lvlJc w:val="left"/>
      <w:pPr>
        <w:ind w:left="742" w:hanging="601"/>
      </w:pPr>
      <w:rPr>
        <w:rFonts w:hint="default"/>
        <w:lang w:val="en-US" w:eastAsia="zh-CN" w:bidi="ar-SA"/>
      </w:rPr>
    </w:lvl>
    <w:lvl w:ilvl="2">
      <w:start w:val="0"/>
      <w:numFmt w:val="bullet"/>
      <w:lvlText w:val="•"/>
      <w:lvlJc w:val="left"/>
      <w:pPr>
        <w:ind w:left="1384" w:hanging="601"/>
      </w:pPr>
      <w:rPr>
        <w:rFonts w:hint="default"/>
        <w:lang w:val="en-US" w:eastAsia="zh-CN" w:bidi="ar-SA"/>
      </w:rPr>
    </w:lvl>
    <w:lvl w:ilvl="3">
      <w:start w:val="0"/>
      <w:numFmt w:val="bullet"/>
      <w:lvlText w:val="•"/>
      <w:lvlJc w:val="left"/>
      <w:pPr>
        <w:ind w:left="2026" w:hanging="601"/>
      </w:pPr>
      <w:rPr>
        <w:rFonts w:hint="default"/>
        <w:lang w:val="en-US" w:eastAsia="zh-CN" w:bidi="ar-SA"/>
      </w:rPr>
    </w:lvl>
    <w:lvl w:ilvl="4">
      <w:start w:val="0"/>
      <w:numFmt w:val="bullet"/>
      <w:lvlText w:val="•"/>
      <w:lvlJc w:val="left"/>
      <w:pPr>
        <w:ind w:left="2668" w:hanging="601"/>
      </w:pPr>
      <w:rPr>
        <w:rFonts w:hint="default"/>
        <w:lang w:val="en-US" w:eastAsia="zh-CN" w:bidi="ar-SA"/>
      </w:rPr>
    </w:lvl>
    <w:lvl w:ilvl="5">
      <w:start w:val="0"/>
      <w:numFmt w:val="bullet"/>
      <w:lvlText w:val="•"/>
      <w:lvlJc w:val="left"/>
      <w:pPr>
        <w:ind w:left="3310" w:hanging="601"/>
      </w:pPr>
      <w:rPr>
        <w:rFonts w:hint="default"/>
        <w:lang w:val="en-US" w:eastAsia="zh-CN" w:bidi="ar-SA"/>
      </w:rPr>
    </w:lvl>
    <w:lvl w:ilvl="6">
      <w:start w:val="0"/>
      <w:numFmt w:val="bullet"/>
      <w:lvlText w:val="•"/>
      <w:lvlJc w:val="left"/>
      <w:pPr>
        <w:ind w:left="3952" w:hanging="601"/>
      </w:pPr>
      <w:rPr>
        <w:rFonts w:hint="default"/>
        <w:lang w:val="en-US" w:eastAsia="zh-CN" w:bidi="ar-SA"/>
      </w:rPr>
    </w:lvl>
    <w:lvl w:ilvl="7">
      <w:start w:val="0"/>
      <w:numFmt w:val="bullet"/>
      <w:lvlText w:val="•"/>
      <w:lvlJc w:val="left"/>
      <w:pPr>
        <w:ind w:left="4594" w:hanging="601"/>
      </w:pPr>
      <w:rPr>
        <w:rFonts w:hint="default"/>
        <w:lang w:val="en-US" w:eastAsia="zh-CN" w:bidi="ar-SA"/>
      </w:rPr>
    </w:lvl>
    <w:lvl w:ilvl="8">
      <w:start w:val="0"/>
      <w:numFmt w:val="bullet"/>
      <w:lvlText w:val="•"/>
      <w:lvlJc w:val="left"/>
      <w:pPr>
        <w:ind w:left="5236" w:hanging="601"/>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480"/>
    </w:pPr>
    <w:rPr>
      <w:rFonts w:ascii="宋体" w:hAnsi="宋体" w:eastAsia="宋体" w:cs="宋体"/>
      <w:sz w:val="32"/>
      <w:szCs w:val="32"/>
      <w:lang w:val="en-US" w:eastAsia="zh-CN" w:bidi="ar-SA"/>
    </w:rPr>
  </w:style>
  <w:style w:styleId="Title" w:type="paragraph">
    <w:name w:val="Title"/>
    <w:basedOn w:val="Normal"/>
    <w:uiPriority w:val="1"/>
    <w:qFormat/>
    <w:pPr>
      <w:ind w:left="480"/>
    </w:pPr>
    <w:rPr>
      <w:rFonts w:ascii="宋体" w:hAnsi="宋体" w:eastAsia="宋体" w:cs="宋体"/>
      <w:sz w:val="44"/>
      <w:szCs w:val="4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2026-04-03T06:57:44Z</dcterms:created>
  <dcterms:modified xsi:type="dcterms:W3CDTF">2026-04-03T06:57:44Z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WPS 文字</vt:lpwstr>
  </property>
  <property fmtid="{D5CDD505-2E9C-101B-9397-08002B2CF9AE}" pid="4" name="LastSaved">
    <vt:filetime>2026-04-03T00:00:00Z</vt:filetime>
  </property>
</Properties>
</file>