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1EF9A">
      <w:pPr>
        <w:keepNext w:val="0"/>
        <w:keepLines w:val="0"/>
        <w:pageBreakBefore w:val="0"/>
        <w:widowControl w:val="0"/>
        <w:kinsoku/>
        <w:wordWrap/>
        <w:overflowPunct/>
        <w:topLinePunct w:val="0"/>
        <w:autoSpaceDE/>
        <w:autoSpaceDN/>
        <w:bidi w:val="0"/>
        <w:adjustRightInd/>
        <w:snapToGrid/>
        <w:spacing w:line="579" w:lineRule="exact"/>
        <w:jc w:val="lef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附件17</w:t>
      </w:r>
      <w:bookmarkStart w:id="24" w:name="_GoBack"/>
      <w:bookmarkEnd w:id="24"/>
    </w:p>
    <w:p w14:paraId="570E99F0">
      <w:pPr>
        <w:pStyle w:val="2"/>
        <w:rPr>
          <w:rFonts w:hint="eastAsia"/>
          <w:lang w:val="en-US" w:eastAsia="zh-CN"/>
        </w:rPr>
      </w:pPr>
    </w:p>
    <w:p w14:paraId="69961FBC">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ascii="Times New Roman" w:hAnsi="Times New Roman" w:eastAsia="方正小标宋简体" w:cs="Times New Roman"/>
          <w:color w:val="000000" w:themeColor="text1"/>
          <w:sz w:val="44"/>
          <w:szCs w:val="44"/>
          <w14:textFill>
            <w14:solidFill>
              <w14:schemeClr w14:val="tx1"/>
            </w14:solidFill>
          </w14:textFill>
        </w:rPr>
      </w:pPr>
      <w:r>
        <w:rPr>
          <w:rFonts w:ascii="Times New Roman" w:hAnsi="Times New Roman" w:eastAsia="方正小标宋简体" w:cs="Times New Roman"/>
          <w:color w:val="000000" w:themeColor="text1"/>
          <w:sz w:val="44"/>
          <w:szCs w:val="44"/>
          <w14:textFill>
            <w14:solidFill>
              <w14:schemeClr w14:val="tx1"/>
            </w14:solidFill>
          </w14:textFill>
        </w:rPr>
        <w:t>《横琴粤澳深度合作区促进金融产业高质量发展扶持办法》资产管理行业专项扶持申报指南</w:t>
      </w:r>
    </w:p>
    <w:p w14:paraId="2D97F08E">
      <w:pPr>
        <w:pStyle w:val="12"/>
        <w:keepNext w:val="0"/>
        <w:keepLines w:val="0"/>
        <w:pageBreakBefore w:val="0"/>
        <w:widowControl w:val="0"/>
        <w:kinsoku/>
        <w:wordWrap/>
        <w:overflowPunct/>
        <w:topLinePunct w:val="0"/>
        <w:autoSpaceDE/>
        <w:autoSpaceDN/>
        <w:bidi w:val="0"/>
        <w:adjustRightInd/>
        <w:snapToGrid/>
        <w:spacing w:line="579" w:lineRule="exact"/>
        <w:ind w:left="0" w:leftChars="0" w:firstLine="0" w:firstLineChars="0"/>
        <w:textAlignment w:val="auto"/>
        <w:rPr>
          <w:rFonts w:ascii="Times New Roman" w:hAnsi="Times New Roman" w:cs="Times New Roman"/>
          <w:color w:val="000000" w:themeColor="text1"/>
          <w14:textFill>
            <w14:solidFill>
              <w14:schemeClr w14:val="tx1"/>
            </w14:solidFill>
          </w14:textFill>
        </w:rPr>
      </w:pPr>
    </w:p>
    <w:p w14:paraId="573652E7">
      <w:pPr>
        <w:keepNext w:val="0"/>
        <w:keepLines w:val="0"/>
        <w:pageBreakBefore w:val="0"/>
        <w:widowControl w:val="0"/>
        <w:kinsoku/>
        <w:wordWrap/>
        <w:overflowPunct/>
        <w:topLinePunct w:val="0"/>
        <w:autoSpaceDE/>
        <w:autoSpaceDN/>
        <w:bidi w:val="0"/>
        <w:adjustRightInd/>
        <w:snapToGrid/>
        <w:spacing w:line="579" w:lineRule="exact"/>
        <w:ind w:firstLine="0" w:firstLineChars="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      </w:t>
      </w:r>
      <w:bookmarkStart w:id="0" w:name="OLE_LINK2"/>
      <w:bookmarkStart w:id="1" w:name="OLE_LINK4"/>
      <w:r>
        <w:rPr>
          <w:rFonts w:ascii="Times New Roman" w:hAnsi="Times New Roman" w:eastAsia="仿宋_GB2312" w:cs="Times New Roman"/>
          <w:color w:val="000000" w:themeColor="text1"/>
          <w:sz w:val="32"/>
          <w:szCs w:val="32"/>
          <w14:textFill>
            <w14:solidFill>
              <w14:schemeClr w14:val="tx1"/>
            </w14:solidFill>
          </w14:textFill>
        </w:rPr>
        <w:t>根据《横琴粤澳深度合作区促进金融产业高质量发展扶持办法》（〔2025〕</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58</w:t>
      </w:r>
      <w:r>
        <w:rPr>
          <w:rFonts w:ascii="Times New Roman" w:hAnsi="Times New Roman" w:eastAsia="仿宋_GB2312" w:cs="Times New Roman"/>
          <w:color w:val="000000" w:themeColor="text1"/>
          <w:sz w:val="32"/>
          <w:szCs w:val="32"/>
          <w14:textFill>
            <w14:solidFill>
              <w14:schemeClr w14:val="tx1"/>
            </w14:solidFill>
          </w14:textFill>
        </w:rPr>
        <w:t>号，以下简称“扶持办法”），现制定本申报指南</w:t>
      </w:r>
      <w:r>
        <w:rPr>
          <w:rFonts w:hint="eastAsia" w:ascii="Times New Roman" w:hAnsi="Times New Roman" w:eastAsia="仿宋_GB2312" w:cs="Times New Roman"/>
          <w:color w:val="000000" w:themeColor="text1"/>
          <w:sz w:val="32"/>
          <w:szCs w:val="32"/>
          <w14:textFill>
            <w14:solidFill>
              <w14:schemeClr w14:val="tx1"/>
            </w14:solidFill>
          </w14:textFill>
        </w:rPr>
        <w:t>。按照扶持办法第六条第（一）款</w:t>
      </w:r>
      <w:r>
        <w:rPr>
          <w:rFonts w:hint="eastAsia" w:ascii="Times New Roman" w:hAnsi="Times New Roman" w:eastAsia="仿宋_GB2312"/>
          <w:sz w:val="32"/>
          <w:szCs w:val="32"/>
        </w:rPr>
        <w:t>，</w:t>
      </w:r>
      <w:r>
        <w:rPr>
          <w:rFonts w:ascii="Times New Roman" w:hAnsi="Times New Roman" w:eastAsia="仿宋_GB2312" w:cs="Times New Roman"/>
          <w:color w:val="000000" w:themeColor="text1"/>
          <w:sz w:val="32"/>
          <w:szCs w:val="32"/>
          <w14:textFill>
            <w14:solidFill>
              <w14:schemeClr w14:val="tx1"/>
            </w14:solidFill>
          </w14:textFill>
        </w:rPr>
        <w:t>开展2025年度资产管理行业</w:t>
      </w:r>
      <w:r>
        <w:rPr>
          <w:rFonts w:hint="eastAsia" w:ascii="Times New Roman" w:hAnsi="Times New Roman" w:eastAsia="仿宋_GB2312" w:cs="Times New Roman"/>
          <w:color w:val="000000" w:themeColor="text1"/>
          <w:sz w:val="32"/>
          <w:szCs w:val="32"/>
          <w14:textFill>
            <w14:solidFill>
              <w14:schemeClr w14:val="tx1"/>
            </w14:solidFill>
          </w14:textFill>
        </w:rPr>
        <w:t>专项扶持</w:t>
      </w:r>
      <w:r>
        <w:rPr>
          <w:rFonts w:ascii="Times New Roman" w:hAnsi="Times New Roman" w:eastAsia="仿宋_GB2312" w:cs="Times New Roman"/>
          <w:color w:val="000000" w:themeColor="text1"/>
          <w:sz w:val="32"/>
          <w:szCs w:val="32"/>
          <w14:textFill>
            <w14:solidFill>
              <w14:schemeClr w14:val="tx1"/>
            </w14:solidFill>
          </w14:textFill>
        </w:rPr>
        <w:t>申报工作。</w:t>
      </w:r>
    </w:p>
    <w:p w14:paraId="089B7DF8">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一</w:t>
      </w:r>
      <w:r>
        <w:rPr>
          <w:rFonts w:ascii="Times New Roman" w:hAnsi="Times New Roman" w:eastAsia="黑体" w:cs="Times New Roman"/>
          <w:color w:val="000000" w:themeColor="text1"/>
          <w:sz w:val="32"/>
          <w:szCs w:val="32"/>
          <w14:textFill>
            <w14:solidFill>
              <w14:schemeClr w14:val="tx1"/>
            </w14:solidFill>
          </w14:textFill>
        </w:rPr>
        <w:t>、申报条件</w:t>
      </w:r>
    </w:p>
    <w:p w14:paraId="21AD03B1">
      <w:pPr>
        <w:pStyle w:val="11"/>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Times New Roman" w:hAnsi="Times New Roman" w:eastAsia="仿宋_GB2312" w:cs="Times New Roman"/>
          <w:color w:val="000000" w:themeColor="text1"/>
          <w:sz w:val="32"/>
          <w:szCs w:val="40"/>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本指南适用于</w:t>
      </w:r>
      <w:r>
        <w:rPr>
          <w:rFonts w:hint="eastAsia" w:ascii="Times New Roman" w:hAnsi="Times New Roman" w:eastAsia="仿宋_GB2312" w:cs="Times New Roman"/>
          <w:color w:val="000000" w:themeColor="text1"/>
          <w:sz w:val="32"/>
          <w:szCs w:val="32"/>
          <w14:textFill>
            <w14:solidFill>
              <w14:schemeClr w14:val="tx1"/>
            </w14:solidFill>
          </w14:textFill>
        </w:rPr>
        <w:t>设立在合作区</w:t>
      </w:r>
      <w:r>
        <w:rPr>
          <w:rFonts w:ascii="Times New Roman" w:hAnsi="Times New Roman" w:eastAsia="仿宋_GB2312" w:cs="Times New Roman"/>
          <w:color w:val="000000" w:themeColor="text1"/>
          <w:sz w:val="32"/>
          <w:szCs w:val="32"/>
          <w14:textFill>
            <w14:solidFill>
              <w14:schemeClr w14:val="tx1"/>
            </w14:solidFill>
          </w14:textFill>
        </w:rPr>
        <w:t>且</w:t>
      </w:r>
      <w:r>
        <w:rPr>
          <w:rFonts w:hint="eastAsia" w:ascii="Times New Roman" w:hAnsi="Times New Roman" w:eastAsia="仿宋_GB2312" w:cs="Times New Roman"/>
          <w:color w:val="000000" w:themeColor="text1"/>
          <w:sz w:val="32"/>
          <w:szCs w:val="32"/>
          <w14:textFill>
            <w14:solidFill>
              <w14:schemeClr w14:val="tx1"/>
            </w14:solidFill>
          </w14:textFill>
        </w:rPr>
        <w:t>2025年</w:t>
      </w:r>
      <w:r>
        <w:rPr>
          <w:rFonts w:ascii="Times New Roman" w:hAnsi="Times New Roman" w:eastAsia="仿宋_GB2312" w:cs="Times New Roman"/>
          <w:color w:val="000000" w:themeColor="text1"/>
          <w:sz w:val="32"/>
          <w:szCs w:val="32"/>
          <w14:textFill>
            <w14:solidFill>
              <w14:schemeClr w14:val="tx1"/>
            </w14:solidFill>
          </w14:textFill>
        </w:rPr>
        <w:t>在合作区连续实质性运营</w:t>
      </w:r>
      <w:r>
        <w:rPr>
          <w:rFonts w:hint="eastAsia" w:ascii="Times New Roman" w:hAnsi="Times New Roman" w:eastAsia="仿宋_GB2312" w:cs="Times New Roman"/>
          <w:color w:val="000000" w:themeColor="text1"/>
          <w:sz w:val="32"/>
          <w:szCs w:val="32"/>
          <w14:textFill>
            <w14:solidFill>
              <w14:schemeClr w14:val="tx1"/>
            </w14:solidFill>
          </w14:textFill>
        </w:rPr>
        <w:t>六</w:t>
      </w:r>
      <w:r>
        <w:rPr>
          <w:rFonts w:ascii="Times New Roman" w:hAnsi="Times New Roman" w:eastAsia="仿宋_GB2312" w:cs="Times New Roman"/>
          <w:color w:val="000000" w:themeColor="text1"/>
          <w:sz w:val="32"/>
          <w:szCs w:val="32"/>
          <w14:textFill>
            <w14:solidFill>
              <w14:schemeClr w14:val="tx1"/>
            </w14:solidFill>
          </w14:textFill>
        </w:rPr>
        <w:t>个月及以上的公募基金管理公司</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资产管理</w:t>
      </w:r>
      <w:r>
        <w:rPr>
          <w:rFonts w:hint="eastAsia" w:ascii="Times New Roman" w:hAnsi="Times New Roman" w:eastAsia="仿宋_GB2312" w:cs="Times New Roman"/>
          <w:color w:val="000000" w:themeColor="text1"/>
          <w:sz w:val="32"/>
          <w:szCs w:val="32"/>
          <w14:textFill>
            <w14:solidFill>
              <w14:schemeClr w14:val="tx1"/>
            </w14:solidFill>
          </w14:textFill>
        </w:rPr>
        <w:t>子</w:t>
      </w:r>
      <w:r>
        <w:rPr>
          <w:rFonts w:ascii="Times New Roman" w:hAnsi="Times New Roman" w:eastAsia="仿宋_GB2312" w:cs="Times New Roman"/>
          <w:color w:val="000000" w:themeColor="text1"/>
          <w:sz w:val="32"/>
          <w:szCs w:val="32"/>
          <w14:textFill>
            <w14:solidFill>
              <w14:schemeClr w14:val="tx1"/>
            </w14:solidFill>
          </w14:textFill>
        </w:rPr>
        <w:t>公司。相关企业须符合合作区产业发展导向，无严重违法失信行为。</w:t>
      </w:r>
    </w:p>
    <w:p w14:paraId="56A28289">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二</w:t>
      </w:r>
      <w:r>
        <w:rPr>
          <w:rFonts w:ascii="Times New Roman" w:hAnsi="Times New Roman" w:eastAsia="黑体" w:cs="Times New Roman"/>
          <w:color w:val="000000" w:themeColor="text1"/>
          <w:sz w:val="32"/>
          <w:szCs w:val="32"/>
          <w14:textFill>
            <w14:solidFill>
              <w14:schemeClr w14:val="tx1"/>
            </w14:solidFill>
          </w14:textFill>
        </w:rPr>
        <w:t>、申报流程</w:t>
      </w:r>
    </w:p>
    <w:p w14:paraId="395AFBC3">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pPr>
      <w:r>
        <w:rPr>
          <w:rFonts w:ascii="Times New Roman" w:hAnsi="Times New Roman" w:eastAsia="仿宋_GB2312" w:cs="Times New Roman"/>
          <w:color w:val="000000" w:themeColor="text1"/>
          <w:sz w:val="32"/>
          <w:szCs w:val="32"/>
          <w14:textFill>
            <w14:solidFill>
              <w14:schemeClr w14:val="tx1"/>
            </w14:solidFill>
          </w14:textFill>
        </w:rPr>
        <w:t>企业可</w:t>
      </w:r>
      <w:r>
        <w:rPr>
          <w:rFonts w:hint="eastAsia" w:ascii="Times New Roman" w:hAnsi="Times New Roman" w:eastAsia="仿宋_GB2312" w:cs="Times New Roman"/>
          <w:color w:val="000000" w:themeColor="text1"/>
          <w:sz w:val="32"/>
          <w:szCs w:val="32"/>
          <w14:textFill>
            <w14:solidFill>
              <w14:schemeClr w14:val="tx1"/>
            </w14:solidFill>
          </w14:textFill>
        </w:rPr>
        <w:t>于政策申报期</w:t>
      </w:r>
      <w:r>
        <w:rPr>
          <w:rFonts w:ascii="Times New Roman" w:hAnsi="Times New Roman" w:eastAsia="仿宋_GB2312" w:cs="Times New Roman"/>
          <w:color w:val="000000" w:themeColor="text1"/>
          <w:sz w:val="32"/>
          <w:szCs w:val="32"/>
          <w14:textFill>
            <w14:solidFill>
              <w14:schemeClr w14:val="tx1"/>
            </w14:solidFill>
          </w14:textFill>
        </w:rPr>
        <w:t>向合作区金融发展局</w:t>
      </w:r>
      <w:r>
        <w:rPr>
          <w:rFonts w:hint="eastAsia" w:ascii="Times New Roman" w:hAnsi="Times New Roman" w:eastAsia="仿宋_GB2312" w:cs="Times New Roman"/>
          <w:color w:val="000000" w:themeColor="text1"/>
          <w:sz w:val="32"/>
          <w:szCs w:val="32"/>
          <w14:textFill>
            <w14:solidFill>
              <w14:schemeClr w14:val="tx1"/>
            </w14:solidFill>
          </w14:textFill>
        </w:rPr>
        <w:t>（以下简称金融发展局）</w:t>
      </w:r>
      <w:r>
        <w:rPr>
          <w:rFonts w:ascii="Times New Roman" w:hAnsi="Times New Roman" w:eastAsia="仿宋_GB2312" w:cs="Times New Roman"/>
          <w:color w:val="000000" w:themeColor="text1"/>
          <w:sz w:val="32"/>
          <w:szCs w:val="32"/>
          <w14:textFill>
            <w14:solidFill>
              <w14:schemeClr w14:val="tx1"/>
            </w14:solidFill>
          </w14:textFill>
        </w:rPr>
        <w:t>提交申请材料，金融发展局将依据</w:t>
      </w:r>
      <w:r>
        <w:rPr>
          <w:rFonts w:hint="eastAsia" w:ascii="Times New Roman" w:hAnsi="Times New Roman" w:eastAsia="仿宋_GB2312" w:cs="Times New Roman"/>
          <w:color w:val="000000" w:themeColor="text1"/>
          <w:sz w:val="32"/>
          <w:szCs w:val="32"/>
          <w14:textFill>
            <w14:solidFill>
              <w14:schemeClr w14:val="tx1"/>
            </w14:solidFill>
          </w14:textFill>
        </w:rPr>
        <w:t>认定标准，结合企业合法合规经营情况</w:t>
      </w:r>
      <w:r>
        <w:rPr>
          <w:rFonts w:ascii="Times New Roman" w:hAnsi="Times New Roman" w:eastAsia="仿宋_GB2312" w:cs="Times New Roman"/>
          <w:color w:val="000000" w:themeColor="text1"/>
          <w:sz w:val="32"/>
          <w:szCs w:val="32"/>
          <w14:textFill>
            <w14:solidFill>
              <w14:schemeClr w14:val="tx1"/>
            </w14:solidFill>
          </w14:textFill>
        </w:rPr>
        <w:t>予以</w:t>
      </w:r>
      <w:r>
        <w:rPr>
          <w:rFonts w:hint="eastAsia" w:ascii="Times New Roman" w:hAnsi="Times New Roman" w:eastAsia="仿宋_GB2312" w:cs="Times New Roman"/>
          <w:color w:val="000000" w:themeColor="text1"/>
          <w:sz w:val="32"/>
          <w:szCs w:val="32"/>
          <w14:textFill>
            <w14:solidFill>
              <w14:schemeClr w14:val="tx1"/>
            </w14:solidFill>
          </w14:textFill>
        </w:rPr>
        <w:t>扶持</w:t>
      </w:r>
      <w:r>
        <w:rPr>
          <w:rFonts w:ascii="Times New Roman" w:hAnsi="Times New Roman" w:eastAsia="仿宋_GB2312" w:cs="Times New Roman"/>
          <w:color w:val="000000" w:themeColor="text1"/>
          <w:sz w:val="32"/>
          <w:szCs w:val="32"/>
          <w14:textFill>
            <w14:solidFill>
              <w14:schemeClr w14:val="tx1"/>
            </w14:solidFill>
          </w14:textFill>
        </w:rPr>
        <w:t>。</w:t>
      </w:r>
    </w:p>
    <w:bookmarkEnd w:id="0"/>
    <w:p w14:paraId="1BB89999">
      <w:pPr>
        <w:keepNext w:val="0"/>
        <w:keepLines w:val="0"/>
        <w:pageBreakBefore w:val="0"/>
        <w:widowControl w:val="0"/>
        <w:numPr>
          <w:ilvl w:val="0"/>
          <w:numId w:val="1"/>
        </w:numPr>
        <w:kinsoku/>
        <w:wordWrap/>
        <w:overflowPunct/>
        <w:topLinePunct w:val="0"/>
        <w:autoSpaceDE/>
        <w:autoSpaceDN/>
        <w:bidi w:val="0"/>
        <w:adjustRightInd/>
        <w:snapToGrid/>
        <w:spacing w:line="579" w:lineRule="exact"/>
        <w:ind w:left="958" w:leftChars="304" w:hanging="320" w:hangingChars="100"/>
        <w:textAlignment w:val="auto"/>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认定标准</w:t>
      </w:r>
    </w:p>
    <w:p w14:paraId="32718101">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认定</w:t>
      </w:r>
      <w:r>
        <w:rPr>
          <w:rFonts w:hint="eastAsia" w:ascii="Times New Roman" w:hAnsi="Times New Roman" w:eastAsia="仿宋_GB2312" w:cs="Times New Roman"/>
          <w:color w:val="000000" w:themeColor="text1"/>
          <w:sz w:val="32"/>
          <w:szCs w:val="32"/>
          <w14:textFill>
            <w14:solidFill>
              <w14:schemeClr w14:val="tx1"/>
            </w14:solidFill>
          </w14:textFill>
        </w:rPr>
        <w:t>标准采用评分制，共设3</w:t>
      </w:r>
      <w:r>
        <w:rPr>
          <w:rFonts w:ascii="Times New Roman" w:hAnsi="Times New Roman" w:eastAsia="仿宋_GB2312" w:cs="Times New Roman"/>
          <w:color w:val="000000" w:themeColor="text1"/>
          <w:sz w:val="32"/>
          <w:szCs w:val="32"/>
          <w14:textFill>
            <w14:solidFill>
              <w14:schemeClr w14:val="tx1"/>
            </w14:solidFill>
          </w14:textFill>
        </w:rPr>
        <w:t>项</w:t>
      </w:r>
      <w:r>
        <w:rPr>
          <w:rFonts w:hint="eastAsia" w:ascii="Times New Roman" w:hAnsi="Times New Roman" w:eastAsia="仿宋_GB2312" w:cs="Times New Roman"/>
          <w:color w:val="000000" w:themeColor="text1"/>
          <w:sz w:val="32"/>
          <w:szCs w:val="32"/>
          <w14:textFill>
            <w14:solidFill>
              <w14:schemeClr w14:val="tx1"/>
            </w14:solidFill>
          </w14:textFill>
        </w:rPr>
        <w:t>评分指标</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包括业务发展水平、金融生态建设与实质化运作、培育澳门人才，总分值为100分，具体评分规则如下：</w:t>
      </w:r>
    </w:p>
    <w:p w14:paraId="33BD1374">
      <w:pPr>
        <w:pStyle w:val="2"/>
        <w:numPr>
          <w:ilvl w:val="255"/>
          <w:numId w:val="0"/>
        </w:numPr>
        <w:spacing w:line="500" w:lineRule="exact"/>
        <w:rPr>
          <w:rFonts w:ascii="楷体_GB2312" w:hAnsi="楷体_GB2312" w:eastAsia="楷体_GB2312" w:cs="楷体_GB2312"/>
          <w:b/>
          <w:bCs/>
          <w:color w:val="000000" w:themeColor="text1"/>
          <w:sz w:val="32"/>
          <w:szCs w:val="32"/>
          <w14:textFill>
            <w14:solidFill>
              <w14:schemeClr w14:val="tx1"/>
            </w14:solidFill>
          </w14:textFill>
        </w:rPr>
      </w:pPr>
    </w:p>
    <w:p w14:paraId="58D239BA">
      <w:pPr>
        <w:pStyle w:val="2"/>
        <w:numPr>
          <w:ilvl w:val="255"/>
          <w:numId w:val="0"/>
        </w:numPr>
        <w:spacing w:line="500" w:lineRule="exact"/>
        <w:ind w:firstLine="643"/>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（一）公募基金管理公司评分规则</w:t>
      </w:r>
    </w:p>
    <w:p w14:paraId="7A3D8A49">
      <w:pPr>
        <w:pStyle w:val="2"/>
        <w:spacing w:line="500" w:lineRule="exact"/>
        <w:ind w:firstLine="0" w:firstLineChars="0"/>
        <w:rPr>
          <w:rFonts w:ascii="楷体_GB2312" w:hAnsi="楷体_GB2312" w:eastAsia="楷体_GB2312" w:cs="楷体_GB2312"/>
          <w:b/>
          <w:bCs/>
          <w:color w:val="000000" w:themeColor="text1"/>
          <w:sz w:val="32"/>
          <w:szCs w:val="32"/>
          <w14:textFill>
            <w14:solidFill>
              <w14:schemeClr w14:val="tx1"/>
            </w14:solidFill>
          </w14:textFill>
        </w:rPr>
      </w:pPr>
    </w:p>
    <w:tbl>
      <w:tblPr>
        <w:tblStyle w:val="15"/>
        <w:tblW w:w="9114" w:type="dxa"/>
        <w:jc w:val="center"/>
        <w:tblLayout w:type="fixed"/>
        <w:tblCellMar>
          <w:top w:w="0" w:type="dxa"/>
          <w:left w:w="108" w:type="dxa"/>
          <w:bottom w:w="0" w:type="dxa"/>
          <w:right w:w="108" w:type="dxa"/>
        </w:tblCellMar>
      </w:tblPr>
      <w:tblGrid>
        <w:gridCol w:w="1039"/>
        <w:gridCol w:w="1145"/>
        <w:gridCol w:w="3549"/>
        <w:gridCol w:w="3381"/>
      </w:tblGrid>
      <w:tr w14:paraId="3B88E19E">
        <w:tblPrEx>
          <w:tblCellMar>
            <w:top w:w="0" w:type="dxa"/>
            <w:left w:w="108" w:type="dxa"/>
            <w:bottom w:w="0" w:type="dxa"/>
            <w:right w:w="108" w:type="dxa"/>
          </w:tblCellMar>
        </w:tblPrEx>
        <w:trPr>
          <w:trHeight w:val="23"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A9D89A">
            <w:pPr>
              <w:widowControl/>
              <w:jc w:val="center"/>
              <w:textAlignment w:val="center"/>
              <w:rPr>
                <w:rFonts w:ascii="Times New Roman" w:hAnsi="Times New Roman" w:eastAsia="仿宋_GB2312" w:cs="Times New Roman"/>
                <w:b/>
                <w:bCs/>
                <w:color w:val="000000"/>
                <w:kern w:val="0"/>
                <w:sz w:val="24"/>
                <w:szCs w:val="24"/>
                <w:lang w:bidi="ar"/>
              </w:rPr>
            </w:pPr>
            <w:r>
              <w:rPr>
                <w:rFonts w:ascii="Times New Roman" w:hAnsi="Times New Roman" w:eastAsia="仿宋_GB2312" w:cs="Times New Roman"/>
                <w:b/>
                <w:bCs/>
                <w:color w:val="000000"/>
                <w:kern w:val="0"/>
                <w:sz w:val="24"/>
                <w:szCs w:val="24"/>
                <w:lang w:bidi="ar"/>
              </w:rPr>
              <w:t>评分</w:t>
            </w:r>
          </w:p>
          <w:p w14:paraId="7AF85B79">
            <w:pPr>
              <w:widowControl/>
              <w:jc w:val="center"/>
              <w:textAlignment w:val="center"/>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kern w:val="0"/>
                <w:sz w:val="24"/>
                <w:szCs w:val="24"/>
                <w:lang w:bidi="ar"/>
              </w:rPr>
              <w:t>指标</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7AB723">
            <w:pPr>
              <w:widowControl/>
              <w:jc w:val="center"/>
              <w:textAlignment w:val="center"/>
              <w:rPr>
                <w:rFonts w:ascii="Times New Roman" w:hAnsi="Times New Roman" w:eastAsia="仿宋_GB2312" w:cs="Times New Roman"/>
                <w:b/>
                <w:bCs/>
                <w:color w:val="000000"/>
                <w:kern w:val="0"/>
                <w:sz w:val="24"/>
                <w:szCs w:val="24"/>
                <w:lang w:bidi="ar"/>
              </w:rPr>
            </w:pPr>
            <w:r>
              <w:rPr>
                <w:rFonts w:ascii="Times New Roman" w:hAnsi="Times New Roman" w:eastAsia="仿宋_GB2312" w:cs="Times New Roman"/>
                <w:b/>
                <w:bCs/>
                <w:color w:val="000000"/>
                <w:kern w:val="0"/>
                <w:sz w:val="24"/>
                <w:szCs w:val="24"/>
                <w:lang w:bidi="ar"/>
              </w:rPr>
              <w:t>参考</w:t>
            </w:r>
          </w:p>
          <w:p w14:paraId="0F4D25FC">
            <w:pPr>
              <w:widowControl/>
              <w:jc w:val="center"/>
              <w:textAlignment w:val="center"/>
              <w:rPr>
                <w:rFonts w:ascii="Times New Roman" w:hAnsi="Times New Roman" w:cs="Times New Roman"/>
                <w:b/>
                <w:bCs/>
                <w:color w:val="000000"/>
                <w:sz w:val="24"/>
                <w:szCs w:val="24"/>
              </w:rPr>
            </w:pPr>
            <w:r>
              <w:rPr>
                <w:rFonts w:ascii="Times New Roman" w:hAnsi="Times New Roman" w:eastAsia="仿宋_GB2312" w:cs="Times New Roman"/>
                <w:b/>
                <w:bCs/>
                <w:color w:val="000000"/>
                <w:kern w:val="0"/>
                <w:sz w:val="24"/>
                <w:szCs w:val="24"/>
                <w:lang w:bidi="ar"/>
              </w:rPr>
              <w:t>因素</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1836F">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统计口径</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70D70">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对应分值</w:t>
            </w:r>
          </w:p>
        </w:tc>
      </w:tr>
      <w:tr w14:paraId="2A0CCA66">
        <w:tblPrEx>
          <w:tblCellMar>
            <w:top w:w="0" w:type="dxa"/>
            <w:left w:w="108" w:type="dxa"/>
            <w:bottom w:w="0" w:type="dxa"/>
            <w:right w:w="108" w:type="dxa"/>
          </w:tblCellMar>
        </w:tblPrEx>
        <w:trPr>
          <w:trHeight w:val="23" w:hRule="atLeast"/>
          <w:jc w:val="center"/>
        </w:trPr>
        <w:tc>
          <w:tcPr>
            <w:tcW w:w="10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DBC280F">
            <w:pPr>
              <w:widowControl/>
              <w:jc w:val="center"/>
              <w:textAlignment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bidi="ar"/>
              </w:rPr>
              <w:t>业务发展水平</w:t>
            </w:r>
            <w:r>
              <w:rPr>
                <w:rFonts w:hint="eastAsia" w:ascii="Times New Roman" w:hAnsi="Times New Roman" w:eastAsia="仿宋_GB2312" w:cs="Times New Roman"/>
                <w:b/>
                <w:bCs/>
                <w:color w:val="000000"/>
                <w:kern w:val="0"/>
                <w:sz w:val="24"/>
                <w:szCs w:val="24"/>
                <w:lang w:bidi="ar"/>
              </w:rPr>
              <w:br w:type="textWrapping"/>
            </w:r>
            <w:r>
              <w:rPr>
                <w:rFonts w:ascii="Times New Roman" w:hAnsi="Times New Roman" w:eastAsia="仿宋_GB2312" w:cs="Times New Roman"/>
                <w:b/>
                <w:bCs/>
                <w:color w:val="000000"/>
                <w:kern w:val="0"/>
                <w:szCs w:val="21"/>
                <w:lang w:bidi="ar"/>
              </w:rPr>
              <w:t>（</w:t>
            </w:r>
            <w:r>
              <w:rPr>
                <w:rFonts w:hint="eastAsia" w:ascii="Times New Roman" w:hAnsi="Times New Roman" w:eastAsia="仿宋_GB2312" w:cs="Times New Roman"/>
                <w:b/>
                <w:bCs/>
                <w:color w:val="000000"/>
                <w:kern w:val="0"/>
                <w:szCs w:val="21"/>
                <w:lang w:bidi="ar"/>
              </w:rPr>
              <w:t>30</w:t>
            </w:r>
            <w:r>
              <w:rPr>
                <w:rFonts w:ascii="Times New Roman" w:hAnsi="Times New Roman" w:eastAsia="仿宋_GB2312" w:cs="Times New Roman"/>
                <w:b/>
                <w:bCs/>
                <w:color w:val="000000"/>
                <w:kern w:val="0"/>
                <w:szCs w:val="21"/>
                <w:lang w:bidi="ar"/>
              </w:rPr>
              <w:t>分）</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6366A0">
            <w:pPr>
              <w:widowControl/>
              <w:jc w:val="center"/>
              <w:textAlignment w:val="center"/>
              <w:rPr>
                <w:rFonts w:ascii="Times New Roman" w:hAnsi="Times New Roman" w:eastAsia="仿宋_GB2312" w:cs="Times New Roman"/>
                <w:b/>
                <w:bCs/>
                <w:color w:val="000000"/>
                <w:sz w:val="24"/>
                <w:szCs w:val="24"/>
              </w:rPr>
            </w:pPr>
            <w:bookmarkStart w:id="2" w:name="OLE_LINK1"/>
            <w:r>
              <w:rPr>
                <w:rFonts w:ascii="Times New Roman" w:hAnsi="Times New Roman" w:eastAsia="仿宋_GB2312" w:cs="Times New Roman"/>
                <w:b/>
                <w:bCs/>
                <w:color w:val="000000"/>
                <w:kern w:val="0"/>
                <w:sz w:val="24"/>
                <w:szCs w:val="24"/>
                <w:lang w:bidi="ar"/>
              </w:rPr>
              <w:t>全口径资产管理规模</w:t>
            </w:r>
            <w:bookmarkEnd w:id="2"/>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B793FE">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按照公司上一年度末全口径资产管理规模进行排名和评分。</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C2EDA">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在合作区同行业排名前五名的分别得</w:t>
            </w:r>
            <w:r>
              <w:rPr>
                <w:rFonts w:hint="eastAsia" w:ascii="Times New Roman" w:hAnsi="Times New Roman" w:eastAsia="仿宋_GB2312" w:cs="Times New Roman"/>
                <w:color w:val="000000"/>
                <w:kern w:val="0"/>
                <w:sz w:val="24"/>
                <w:szCs w:val="24"/>
                <w:lang w:bidi="ar"/>
              </w:rPr>
              <w:t>20、</w:t>
            </w:r>
            <w:r>
              <w:rPr>
                <w:rFonts w:ascii="Times New Roman" w:hAnsi="Times New Roman" w:eastAsia="仿宋_GB2312" w:cs="Times New Roman"/>
                <w:color w:val="000000"/>
                <w:kern w:val="0"/>
                <w:sz w:val="24"/>
                <w:szCs w:val="24"/>
                <w:lang w:bidi="ar"/>
              </w:rPr>
              <w:t>1</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8</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4</w:t>
            </w:r>
            <w:r>
              <w:rPr>
                <w:rFonts w:ascii="Times New Roman" w:hAnsi="Times New Roman" w:eastAsia="仿宋_GB2312" w:cs="Times New Roman"/>
                <w:color w:val="000000"/>
                <w:kern w:val="0"/>
                <w:sz w:val="24"/>
                <w:szCs w:val="24"/>
                <w:lang w:bidi="ar"/>
              </w:rPr>
              <w:t>分，第五名以后得0分</w:t>
            </w:r>
            <w:r>
              <w:rPr>
                <w:rFonts w:hint="eastAsia" w:ascii="Times New Roman" w:hAnsi="Times New Roman" w:eastAsia="仿宋_GB2312" w:cs="Times New Roman"/>
                <w:color w:val="000000"/>
                <w:kern w:val="0"/>
                <w:sz w:val="24"/>
                <w:szCs w:val="24"/>
                <w:lang w:bidi="ar"/>
              </w:rPr>
              <w:t>。</w:t>
            </w:r>
          </w:p>
        </w:tc>
      </w:tr>
      <w:tr w14:paraId="4FAF341D">
        <w:tblPrEx>
          <w:tblCellMar>
            <w:top w:w="0" w:type="dxa"/>
            <w:left w:w="108" w:type="dxa"/>
            <w:bottom w:w="0" w:type="dxa"/>
            <w:right w:w="108" w:type="dxa"/>
          </w:tblCellMar>
        </w:tblPrEx>
        <w:trPr>
          <w:trHeight w:val="23" w:hRule="atLeast"/>
          <w:jc w:val="center"/>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52C94E">
            <w:pPr>
              <w:widowControl/>
              <w:jc w:val="center"/>
              <w:textAlignment w:val="center"/>
              <w:rPr>
                <w:rFonts w:ascii="Times New Roman" w:hAnsi="Times New Roman" w:eastAsia="仿宋_GB2312" w:cs="Times New Roman"/>
                <w:b/>
                <w:bCs/>
                <w:color w:val="000000"/>
                <w:kern w:val="0"/>
                <w:sz w:val="24"/>
                <w:szCs w:val="24"/>
                <w:lang w:bidi="ar"/>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C4BD1D">
            <w:pPr>
              <w:widowControl/>
              <w:jc w:val="center"/>
              <w:textAlignment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bidi="ar"/>
              </w:rPr>
              <w:t>跨境金融创新</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37BCEA">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按照公司上一年度发行葡、西语国家相关的跨境金融产品合计规模进行排名和评分。</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B15BA">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在合作区同行业排名前五名的公司分别得10、8、6、4、2分，第五名以后及</w:t>
            </w:r>
            <w:r>
              <w:rPr>
                <w:rFonts w:hint="eastAsia" w:ascii="Times New Roman" w:hAnsi="Times New Roman" w:eastAsia="仿宋_GB2312" w:cs="Times New Roman"/>
                <w:color w:val="000000"/>
                <w:kern w:val="0"/>
                <w:sz w:val="24"/>
                <w:szCs w:val="24"/>
                <w:lang w:bidi="ar"/>
              </w:rPr>
              <w:t>合计规模为0的</w:t>
            </w:r>
            <w:r>
              <w:rPr>
                <w:rFonts w:ascii="Times New Roman" w:hAnsi="Times New Roman" w:eastAsia="仿宋_GB2312" w:cs="Times New Roman"/>
                <w:color w:val="000000"/>
                <w:kern w:val="0"/>
                <w:sz w:val="24"/>
                <w:szCs w:val="24"/>
                <w:lang w:bidi="ar"/>
              </w:rPr>
              <w:t>均得0分。</w:t>
            </w:r>
          </w:p>
        </w:tc>
      </w:tr>
      <w:tr w14:paraId="13F3F9A8">
        <w:tblPrEx>
          <w:tblCellMar>
            <w:top w:w="0" w:type="dxa"/>
            <w:left w:w="108" w:type="dxa"/>
            <w:bottom w:w="0" w:type="dxa"/>
            <w:right w:w="108" w:type="dxa"/>
          </w:tblCellMar>
        </w:tblPrEx>
        <w:trPr>
          <w:trHeight w:val="23" w:hRule="atLeast"/>
          <w:jc w:val="center"/>
        </w:trPr>
        <w:tc>
          <w:tcPr>
            <w:tcW w:w="1039" w:type="dxa"/>
            <w:vMerge w:val="restart"/>
            <w:tcBorders>
              <w:top w:val="single" w:color="000000" w:sz="4" w:space="0"/>
              <w:left w:val="single" w:color="000000" w:sz="4" w:space="0"/>
              <w:right w:val="single" w:color="000000" w:sz="4" w:space="0"/>
            </w:tcBorders>
            <w:shd w:val="clear" w:color="auto" w:fill="FFFFFF"/>
            <w:vAlign w:val="center"/>
          </w:tcPr>
          <w:p w14:paraId="07F79073">
            <w:pPr>
              <w:widowControl/>
              <w:jc w:val="center"/>
              <w:textAlignment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bidi="ar"/>
              </w:rPr>
              <w:t>金融生态建设与</w:t>
            </w:r>
            <w:r>
              <w:rPr>
                <w:rFonts w:ascii="Times New Roman" w:hAnsi="Times New Roman" w:eastAsia="仿宋_GB2312" w:cs="Times New Roman"/>
                <w:b/>
                <w:bCs/>
                <w:color w:val="000000"/>
                <w:kern w:val="0"/>
                <w:sz w:val="24"/>
                <w:szCs w:val="24"/>
                <w:lang w:bidi="ar"/>
              </w:rPr>
              <w:t>实质化运作</w:t>
            </w:r>
          </w:p>
          <w:p w14:paraId="5EF9DB2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Cs w:val="21"/>
                <w:lang w:bidi="ar"/>
              </w:rPr>
              <w:t>（</w:t>
            </w:r>
            <w:r>
              <w:rPr>
                <w:rFonts w:hint="eastAsia" w:ascii="Times New Roman" w:hAnsi="Times New Roman" w:eastAsia="仿宋_GB2312" w:cs="Times New Roman"/>
                <w:b/>
                <w:bCs/>
                <w:color w:val="000000"/>
                <w:kern w:val="0"/>
                <w:szCs w:val="21"/>
                <w:lang w:bidi="ar"/>
              </w:rPr>
              <w:t>40</w:t>
            </w:r>
            <w:r>
              <w:rPr>
                <w:rFonts w:ascii="Times New Roman" w:hAnsi="Times New Roman" w:eastAsia="仿宋_GB2312" w:cs="Times New Roman"/>
                <w:b/>
                <w:bCs/>
                <w:color w:val="000000"/>
                <w:kern w:val="0"/>
                <w:szCs w:val="21"/>
                <w:lang w:bidi="ar"/>
              </w:rPr>
              <w:t>分）</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BCE11">
            <w:pPr>
              <w:widowControl/>
              <w:jc w:val="center"/>
              <w:textAlignment w:val="center"/>
              <w:rPr>
                <w:rFonts w:ascii="Times New Roman" w:hAnsi="Times New Roman" w:eastAsia="仿宋_GB2312" w:cs="Times New Roman"/>
                <w:b/>
                <w:bCs/>
                <w:color w:val="000000"/>
                <w:sz w:val="24"/>
                <w:szCs w:val="24"/>
              </w:rPr>
            </w:pPr>
            <w:bookmarkStart w:id="3" w:name="OLE_LINK6"/>
            <w:r>
              <w:rPr>
                <w:rFonts w:ascii="Times New Roman" w:hAnsi="Times New Roman" w:eastAsia="仿宋_GB2312" w:cs="Times New Roman"/>
                <w:b/>
                <w:bCs/>
                <w:color w:val="000000"/>
                <w:kern w:val="0"/>
                <w:sz w:val="24"/>
                <w:szCs w:val="24"/>
                <w:lang w:bidi="ar"/>
              </w:rPr>
              <w:t>日均办公人数</w:t>
            </w:r>
            <w:bookmarkEnd w:id="3"/>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FEE8A">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按照公司上一年度日均办公人数</w:t>
            </w:r>
            <w:r>
              <w:rPr>
                <w:rStyle w:val="19"/>
                <w:rFonts w:ascii="Times New Roman" w:hAnsi="Times New Roman" w:eastAsia="仿宋_GB2312" w:cs="Times New Roman"/>
                <w:color w:val="000000"/>
                <w:kern w:val="0"/>
                <w:sz w:val="24"/>
                <w:szCs w:val="24"/>
                <w:lang w:bidi="ar"/>
              </w:rPr>
              <w:footnoteReference w:id="0"/>
            </w:r>
            <w:r>
              <w:rPr>
                <w:rFonts w:ascii="Times New Roman" w:hAnsi="Times New Roman" w:eastAsia="仿宋_GB2312" w:cs="Times New Roman"/>
                <w:color w:val="000000"/>
                <w:kern w:val="0"/>
                <w:sz w:val="24"/>
                <w:szCs w:val="24"/>
                <w:lang w:bidi="ar"/>
              </w:rPr>
              <w:t>进行排名和评分。</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2A3A38">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分，第五名以后得0分。</w:t>
            </w:r>
          </w:p>
        </w:tc>
      </w:tr>
      <w:tr w14:paraId="45FBB381">
        <w:tblPrEx>
          <w:tblCellMar>
            <w:top w:w="0" w:type="dxa"/>
            <w:left w:w="108" w:type="dxa"/>
            <w:bottom w:w="0" w:type="dxa"/>
            <w:right w:w="108" w:type="dxa"/>
          </w:tblCellMar>
        </w:tblPrEx>
        <w:trPr>
          <w:trHeight w:val="23" w:hRule="atLeast"/>
          <w:jc w:val="center"/>
        </w:trPr>
        <w:tc>
          <w:tcPr>
            <w:tcW w:w="1039" w:type="dxa"/>
            <w:vMerge w:val="continue"/>
            <w:tcBorders>
              <w:left w:val="single" w:color="000000" w:sz="4" w:space="0"/>
              <w:right w:val="single" w:color="000000" w:sz="4" w:space="0"/>
            </w:tcBorders>
            <w:shd w:val="clear" w:color="auto" w:fill="FFFFFF"/>
            <w:vAlign w:val="center"/>
          </w:tcPr>
          <w:p w14:paraId="3B9F6D42">
            <w:pPr>
              <w:jc w:val="center"/>
              <w:rPr>
                <w:rFonts w:ascii="Times New Roman" w:hAnsi="Times New Roman" w:eastAsia="仿宋_GB2312" w:cs="Times New Roman"/>
                <w:b/>
                <w:bCs/>
                <w:color w:val="000000"/>
                <w:sz w:val="24"/>
                <w:szCs w:val="24"/>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F1400">
            <w:pPr>
              <w:widowControl/>
              <w:jc w:val="center"/>
              <w:textAlignment w:val="center"/>
              <w:rPr>
                <w:rFonts w:ascii="Times New Roman" w:hAnsi="Times New Roman" w:eastAsia="仿宋_GB2312" w:cs="Times New Roman"/>
                <w:b/>
                <w:bCs/>
                <w:color w:val="000000"/>
                <w:kern w:val="0"/>
                <w:sz w:val="24"/>
                <w:szCs w:val="24"/>
                <w:lang w:bidi="ar"/>
              </w:rPr>
            </w:pPr>
            <w:bookmarkStart w:id="4" w:name="OLE_LINK7"/>
            <w:r>
              <w:rPr>
                <w:rFonts w:ascii="Times New Roman" w:hAnsi="Times New Roman" w:eastAsia="仿宋_GB2312" w:cs="Times New Roman"/>
                <w:b/>
                <w:bCs/>
                <w:color w:val="000000"/>
                <w:kern w:val="0"/>
                <w:sz w:val="24"/>
                <w:szCs w:val="24"/>
                <w:lang w:bidi="ar"/>
              </w:rPr>
              <w:t>办公</w:t>
            </w:r>
          </w:p>
          <w:p w14:paraId="705C838A">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面积</w:t>
            </w:r>
            <w:bookmarkEnd w:id="4"/>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20124">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w:t>
            </w:r>
            <w:r>
              <w:rPr>
                <w:rFonts w:hint="eastAsia" w:ascii="Times New Roman" w:hAnsi="Times New Roman" w:eastAsia="仿宋_GB2312" w:cs="Times New Roman"/>
                <w:color w:val="000000"/>
                <w:kern w:val="0"/>
                <w:sz w:val="24"/>
                <w:szCs w:val="24"/>
                <w:lang w:bidi="ar"/>
              </w:rPr>
              <w:t>在澳门及合作区的</w:t>
            </w:r>
            <w:r>
              <w:rPr>
                <w:rFonts w:ascii="Times New Roman" w:hAnsi="Times New Roman" w:eastAsia="仿宋_GB2312" w:cs="Times New Roman"/>
                <w:color w:val="000000"/>
                <w:kern w:val="0"/>
                <w:sz w:val="24"/>
                <w:szCs w:val="24"/>
                <w:lang w:bidi="ar"/>
              </w:rPr>
              <w:t>办公</w:t>
            </w:r>
            <w:r>
              <w:rPr>
                <w:rFonts w:hint="eastAsia" w:ascii="Times New Roman" w:hAnsi="Times New Roman" w:eastAsia="仿宋_GB2312" w:cs="Times New Roman"/>
                <w:color w:val="000000"/>
                <w:kern w:val="0"/>
                <w:sz w:val="24"/>
                <w:szCs w:val="24"/>
                <w:lang w:bidi="ar"/>
              </w:rPr>
              <w:t>场地</w:t>
            </w:r>
            <w:r>
              <w:rPr>
                <w:rFonts w:ascii="Times New Roman" w:hAnsi="Times New Roman" w:eastAsia="仿宋_GB2312" w:cs="Times New Roman"/>
                <w:color w:val="000000"/>
                <w:kern w:val="0"/>
                <w:sz w:val="24"/>
                <w:szCs w:val="24"/>
                <w:lang w:bidi="ar"/>
              </w:rPr>
              <w:t>面积进行排名和评分。</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072FCC">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在合作区同行业排名前五名的分别得10、8、6、4、2分，第五名以后得0分。</w:t>
            </w:r>
          </w:p>
        </w:tc>
      </w:tr>
      <w:tr w14:paraId="3DB3A60A">
        <w:tblPrEx>
          <w:tblCellMar>
            <w:top w:w="0" w:type="dxa"/>
            <w:left w:w="108" w:type="dxa"/>
            <w:bottom w:w="0" w:type="dxa"/>
            <w:right w:w="108" w:type="dxa"/>
          </w:tblCellMar>
        </w:tblPrEx>
        <w:trPr>
          <w:trHeight w:val="23" w:hRule="atLeast"/>
          <w:jc w:val="center"/>
        </w:trPr>
        <w:tc>
          <w:tcPr>
            <w:tcW w:w="1039" w:type="dxa"/>
            <w:vMerge w:val="continue"/>
            <w:tcBorders>
              <w:left w:val="single" w:color="000000" w:sz="4" w:space="0"/>
              <w:bottom w:val="single" w:color="000000" w:sz="4" w:space="0"/>
              <w:right w:val="single" w:color="000000" w:sz="4" w:space="0"/>
            </w:tcBorders>
            <w:shd w:val="clear" w:color="auto" w:fill="FFFFFF"/>
            <w:vAlign w:val="center"/>
          </w:tcPr>
          <w:p w14:paraId="1D0E4FD2">
            <w:pPr>
              <w:jc w:val="center"/>
              <w:rPr>
                <w:rFonts w:ascii="Times New Roman" w:hAnsi="Times New Roman" w:eastAsia="仿宋_GB2312" w:cs="Times New Roman"/>
                <w:b/>
                <w:bCs/>
                <w:color w:val="000000"/>
                <w:sz w:val="24"/>
                <w:szCs w:val="24"/>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68983">
            <w:pPr>
              <w:jc w:val="center"/>
              <w:rPr>
                <w:rFonts w:ascii="Times New Roman" w:hAnsi="Times New Roman" w:eastAsia="仿宋_GB2312" w:cs="Times New Roman"/>
                <w:b/>
                <w:bCs/>
                <w:color w:val="000000"/>
                <w:kern w:val="0"/>
                <w:sz w:val="24"/>
                <w:szCs w:val="24"/>
                <w:lang w:bidi="ar"/>
              </w:rPr>
            </w:pPr>
            <w:bookmarkStart w:id="5" w:name="OLE_LINK10"/>
            <w:bookmarkStart w:id="6" w:name="OLE_LINK8"/>
            <w:r>
              <w:rPr>
                <w:rFonts w:hint="eastAsia" w:ascii="Times New Roman" w:hAnsi="Times New Roman" w:eastAsia="仿宋_GB2312" w:cs="Times New Roman"/>
                <w:b/>
                <w:bCs/>
                <w:color w:val="000000"/>
                <w:kern w:val="0"/>
                <w:sz w:val="24"/>
                <w:szCs w:val="24"/>
                <w:lang w:val="en-US" w:eastAsia="zh-CN" w:bidi="ar"/>
              </w:rPr>
              <w:t>举办</w:t>
            </w:r>
            <w:bookmarkEnd w:id="5"/>
            <w:r>
              <w:rPr>
                <w:rFonts w:ascii="Times New Roman" w:hAnsi="Times New Roman" w:eastAsia="仿宋_GB2312" w:cs="Times New Roman"/>
                <w:b/>
                <w:bCs/>
                <w:color w:val="000000"/>
                <w:kern w:val="0"/>
                <w:sz w:val="24"/>
                <w:szCs w:val="24"/>
                <w:lang w:bidi="ar"/>
              </w:rPr>
              <w:t>金融行业相关交流活动</w:t>
            </w:r>
            <w:r>
              <w:rPr>
                <w:rFonts w:hint="eastAsia" w:ascii="Times New Roman" w:hAnsi="Times New Roman" w:eastAsia="仿宋_GB2312" w:cs="Times New Roman"/>
                <w:b/>
                <w:bCs/>
                <w:color w:val="000000"/>
                <w:kern w:val="0"/>
                <w:sz w:val="24"/>
                <w:szCs w:val="24"/>
                <w:lang w:val="en-US" w:eastAsia="zh-CN" w:bidi="ar"/>
              </w:rPr>
              <w:t>情况</w:t>
            </w:r>
            <w:bookmarkEnd w:id="6"/>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9325F">
            <w:pP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按照公司上一年度</w:t>
            </w:r>
            <w:r>
              <w:rPr>
                <w:rFonts w:hint="eastAsia" w:ascii="Times New Roman" w:hAnsi="Times New Roman" w:eastAsia="仿宋_GB2312" w:cs="Times New Roman"/>
                <w:color w:val="000000"/>
                <w:kern w:val="0"/>
                <w:sz w:val="24"/>
                <w:szCs w:val="24"/>
                <w:lang w:bidi="ar"/>
              </w:rPr>
              <w:t>在澳门及合作区</w:t>
            </w:r>
            <w:r>
              <w:rPr>
                <w:rFonts w:ascii="Times New Roman" w:hAnsi="Times New Roman" w:eastAsia="仿宋_GB2312" w:cs="Times New Roman"/>
                <w:color w:val="000000"/>
                <w:kern w:val="0"/>
                <w:sz w:val="24"/>
                <w:szCs w:val="24"/>
                <w:lang w:bidi="ar"/>
              </w:rPr>
              <w:t>主办</w:t>
            </w:r>
            <w:bookmarkStart w:id="7" w:name="OLE_LINK3"/>
            <w:r>
              <w:rPr>
                <w:rFonts w:hint="eastAsia" w:ascii="Times New Roman" w:hAnsi="Times New Roman" w:eastAsia="仿宋_GB2312" w:cs="Times New Roman"/>
                <w:color w:val="000000"/>
                <w:kern w:val="0"/>
                <w:sz w:val="24"/>
                <w:szCs w:val="24"/>
                <w:lang w:bidi="ar"/>
              </w:rPr>
              <w:t>或出资</w:t>
            </w:r>
            <w:bookmarkEnd w:id="7"/>
            <w:r>
              <w:rPr>
                <w:rFonts w:hint="eastAsia" w:ascii="Times New Roman" w:hAnsi="Times New Roman" w:eastAsia="仿宋_GB2312" w:cs="Times New Roman"/>
                <w:color w:val="000000"/>
                <w:kern w:val="0"/>
                <w:sz w:val="24"/>
                <w:szCs w:val="24"/>
                <w:lang w:bidi="ar"/>
              </w:rPr>
              <w:t>合作</w:t>
            </w:r>
            <w:r>
              <w:rPr>
                <w:rFonts w:ascii="Times New Roman" w:hAnsi="Times New Roman" w:eastAsia="仿宋_GB2312" w:cs="Times New Roman"/>
                <w:color w:val="000000"/>
                <w:kern w:val="0"/>
                <w:sz w:val="24"/>
                <w:szCs w:val="24"/>
                <w:lang w:bidi="ar"/>
              </w:rPr>
              <w:t>的金融行业相关交流活动</w:t>
            </w:r>
            <w:r>
              <w:rPr>
                <w:rStyle w:val="19"/>
                <w:rFonts w:ascii="Times New Roman" w:hAnsi="Times New Roman" w:eastAsia="仿宋_GB2312" w:cs="Times New Roman"/>
                <w:color w:val="000000"/>
                <w:kern w:val="0"/>
                <w:sz w:val="24"/>
                <w:szCs w:val="24"/>
                <w:lang w:bidi="ar"/>
              </w:rPr>
              <w:footnoteReference w:id="1"/>
            </w:r>
            <w:r>
              <w:rPr>
                <w:rFonts w:hint="eastAsia" w:ascii="Times New Roman" w:hAnsi="Times New Roman" w:eastAsia="仿宋_GB2312" w:cs="Times New Roman"/>
                <w:color w:val="000000"/>
                <w:kern w:val="0"/>
                <w:sz w:val="24"/>
                <w:szCs w:val="24"/>
                <w:lang w:val="en-US" w:eastAsia="zh-CN" w:bidi="ar"/>
              </w:rPr>
              <w:t>的情况</w:t>
            </w:r>
            <w:r>
              <w:rPr>
                <w:rFonts w:ascii="Times New Roman" w:hAnsi="Times New Roman" w:eastAsia="仿宋_GB2312" w:cs="Times New Roman"/>
                <w:color w:val="000000"/>
                <w:kern w:val="0"/>
                <w:sz w:val="24"/>
                <w:szCs w:val="24"/>
                <w:lang w:bidi="ar"/>
              </w:rPr>
              <w:t>进行排名和评分</w:t>
            </w:r>
            <w:bookmarkStart w:id="8" w:name="OLE_LINK5"/>
            <w:r>
              <w:rPr>
                <w:rFonts w:hint="eastAsia" w:ascii="Times New Roman" w:hAnsi="Times New Roman" w:eastAsia="仿宋_GB2312" w:cs="Times New Roman"/>
                <w:color w:val="000000"/>
                <w:kern w:val="0"/>
                <w:sz w:val="24"/>
                <w:szCs w:val="24"/>
                <w:lang w:bidi="ar"/>
              </w:rPr>
              <w:t>；对于省级以上金融主管部门参与主办的重大金融活动，可将活动举办地域范围拓展至珠海市。</w:t>
            </w:r>
            <w:bookmarkEnd w:id="8"/>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B21A6">
            <w:r>
              <w:rPr>
                <w:rFonts w:ascii="Times New Roman" w:hAnsi="Times New Roman" w:eastAsia="仿宋_GB2312" w:cs="Times New Roman"/>
                <w:color w:val="000000"/>
                <w:kern w:val="0"/>
                <w:sz w:val="24"/>
                <w:szCs w:val="24"/>
                <w:lang w:bidi="ar"/>
              </w:rPr>
              <w:t>在合作区同行业排名前五名的公司分别得1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分，第五名以后得0分。</w:t>
            </w:r>
          </w:p>
        </w:tc>
      </w:tr>
      <w:tr w14:paraId="425A270B">
        <w:tblPrEx>
          <w:tblCellMar>
            <w:top w:w="0" w:type="dxa"/>
            <w:left w:w="108" w:type="dxa"/>
            <w:bottom w:w="0" w:type="dxa"/>
            <w:right w:w="108" w:type="dxa"/>
          </w:tblCellMar>
        </w:tblPrEx>
        <w:trPr>
          <w:trHeight w:val="23" w:hRule="atLeast"/>
          <w:jc w:val="center"/>
        </w:trPr>
        <w:tc>
          <w:tcPr>
            <w:tcW w:w="10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B16E671">
            <w:pPr>
              <w:widowControl/>
              <w:jc w:val="center"/>
              <w:textAlignment w:val="center"/>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培育</w:t>
            </w:r>
            <w:r>
              <w:rPr>
                <w:rFonts w:ascii="Times New Roman" w:hAnsi="Times New Roman" w:eastAsia="仿宋_GB2312" w:cs="Times New Roman"/>
                <w:b/>
                <w:bCs/>
                <w:color w:val="000000"/>
                <w:sz w:val="24"/>
                <w:szCs w:val="24"/>
              </w:rPr>
              <w:t>澳门人才</w:t>
            </w:r>
          </w:p>
          <w:p w14:paraId="445BC5D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Cs w:val="21"/>
                <w:lang w:bidi="ar"/>
              </w:rPr>
              <w:t>（</w:t>
            </w:r>
            <w:r>
              <w:rPr>
                <w:rFonts w:hint="eastAsia" w:ascii="Times New Roman" w:hAnsi="Times New Roman" w:eastAsia="仿宋_GB2312" w:cs="Times New Roman"/>
                <w:b/>
                <w:bCs/>
                <w:color w:val="000000"/>
                <w:kern w:val="0"/>
                <w:szCs w:val="21"/>
                <w:lang w:bidi="ar"/>
              </w:rPr>
              <w:t>30</w:t>
            </w:r>
            <w:r>
              <w:rPr>
                <w:rFonts w:ascii="Times New Roman" w:hAnsi="Times New Roman" w:eastAsia="仿宋_GB2312" w:cs="Times New Roman"/>
                <w:b/>
                <w:bCs/>
                <w:color w:val="000000"/>
                <w:kern w:val="0"/>
                <w:szCs w:val="21"/>
                <w:lang w:bidi="ar"/>
              </w:rPr>
              <w:t>分）</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A1AD4A">
            <w:pPr>
              <w:widowControl/>
              <w:jc w:val="center"/>
              <w:textAlignment w:val="center"/>
              <w:rPr>
                <w:rFonts w:ascii="Times New Roman" w:hAnsi="Times New Roman" w:eastAsia="仿宋_GB2312" w:cs="Times New Roman"/>
                <w:b/>
                <w:bCs/>
                <w:color w:val="000000"/>
                <w:kern w:val="0"/>
                <w:sz w:val="24"/>
                <w:szCs w:val="24"/>
                <w:lang w:bidi="ar"/>
              </w:rPr>
            </w:pPr>
            <w:bookmarkStart w:id="9" w:name="OLE_LINK9"/>
            <w:r>
              <w:rPr>
                <w:rFonts w:ascii="Times New Roman" w:hAnsi="Times New Roman" w:eastAsia="仿宋_GB2312" w:cs="Times New Roman"/>
                <w:b/>
                <w:bCs/>
                <w:color w:val="000000"/>
                <w:kern w:val="0"/>
                <w:sz w:val="24"/>
                <w:szCs w:val="24"/>
                <w:lang w:bidi="ar"/>
              </w:rPr>
              <w:t>澳门籍员工</w:t>
            </w:r>
          </w:p>
          <w:p w14:paraId="6C1ECDF9">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人数</w:t>
            </w:r>
            <w:bookmarkEnd w:id="9"/>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AB291">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按照公司上一年度末在职澳门籍正式员工人数</w:t>
            </w:r>
            <w:r>
              <w:rPr>
                <w:rFonts w:hint="eastAsia" w:ascii="Times New Roman" w:hAnsi="Times New Roman" w:eastAsia="仿宋_GB2312" w:cs="Times New Roman"/>
                <w:color w:val="000000"/>
                <w:kern w:val="0"/>
                <w:sz w:val="24"/>
                <w:szCs w:val="24"/>
                <w:lang w:bidi="ar"/>
              </w:rPr>
              <w:t>进行</w:t>
            </w:r>
            <w:r>
              <w:rPr>
                <w:rFonts w:ascii="Times New Roman" w:hAnsi="Times New Roman" w:eastAsia="仿宋_GB2312" w:cs="Times New Roman"/>
                <w:color w:val="000000"/>
                <w:kern w:val="0"/>
                <w:sz w:val="24"/>
                <w:szCs w:val="24"/>
                <w:lang w:bidi="ar"/>
              </w:rPr>
              <w:t>排名和评分。</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DF283">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在合作区同行业排名前五名的公司分别得1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分，第五名以后及未招聘的情况均得0分。</w:t>
            </w:r>
          </w:p>
        </w:tc>
      </w:tr>
      <w:tr w14:paraId="30F63709">
        <w:tblPrEx>
          <w:tblCellMar>
            <w:top w:w="0" w:type="dxa"/>
            <w:left w:w="108" w:type="dxa"/>
            <w:bottom w:w="0" w:type="dxa"/>
            <w:right w:w="108" w:type="dxa"/>
          </w:tblCellMar>
        </w:tblPrEx>
        <w:trPr>
          <w:trHeight w:val="23" w:hRule="atLeast"/>
          <w:jc w:val="center"/>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B28708A">
            <w:pPr>
              <w:jc w:val="center"/>
              <w:rPr>
                <w:rFonts w:ascii="Times New Roman" w:hAnsi="Times New Roman" w:eastAsia="仿宋_GB2312" w:cs="Times New Roman"/>
                <w:b/>
                <w:bCs/>
                <w:color w:val="000000"/>
                <w:sz w:val="24"/>
                <w:szCs w:val="24"/>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CCC77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澳门籍员工与社保人数占比</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5B70C">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按照公司上一年度末在职澳门籍正式员工人数占公司在合作区缴纳社保人数的比例进行评分。</w:t>
            </w:r>
          </w:p>
        </w:tc>
        <w:tc>
          <w:tcPr>
            <w:tcW w:w="33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A4C99">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在比例达2.5%、2%、1.5%、1%、0.5%的情况下，分别得1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分，人数未达0.5%的情况得0分。</w:t>
            </w:r>
          </w:p>
        </w:tc>
      </w:tr>
      <w:bookmarkEnd w:id="1"/>
    </w:tbl>
    <w:p w14:paraId="05BFA472">
      <w:pPr>
        <w:pStyle w:val="2"/>
        <w:spacing w:line="500" w:lineRule="exact"/>
        <w:ind w:firstLine="0" w:firstLineChars="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 xml:space="preserve">    （二）资产管理子公司评</w:t>
      </w:r>
      <w:r>
        <w:rPr>
          <w:rFonts w:ascii="楷体_GB2312" w:hAnsi="楷体_GB2312" w:eastAsia="楷体_GB2312" w:cs="楷体_GB2312"/>
          <w:b/>
          <w:bCs/>
          <w:color w:val="000000" w:themeColor="text1"/>
          <w:sz w:val="32"/>
          <w:szCs w:val="32"/>
          <w14:textFill>
            <w14:solidFill>
              <w14:schemeClr w14:val="tx1"/>
            </w14:solidFill>
          </w14:textFill>
        </w:rPr>
        <w:t>分规则</w:t>
      </w:r>
    </w:p>
    <w:p w14:paraId="2595F7C4">
      <w:pPr>
        <w:pStyle w:val="2"/>
        <w:spacing w:line="500" w:lineRule="exact"/>
        <w:ind w:firstLine="0" w:firstLineChars="0"/>
        <w:rPr>
          <w:rFonts w:ascii="楷体_GB2312" w:hAnsi="楷体_GB2312" w:eastAsia="楷体_GB2312" w:cs="楷体_GB2312"/>
          <w:b/>
          <w:bCs/>
          <w:color w:val="000000" w:themeColor="text1"/>
          <w:sz w:val="32"/>
          <w:szCs w:val="32"/>
          <w14:textFill>
            <w14:solidFill>
              <w14:schemeClr w14:val="tx1"/>
            </w14:solidFill>
          </w14:textFill>
        </w:rPr>
      </w:pPr>
    </w:p>
    <w:tbl>
      <w:tblPr>
        <w:tblStyle w:val="15"/>
        <w:tblW w:w="9113" w:type="dxa"/>
        <w:jc w:val="center"/>
        <w:tblLayout w:type="fixed"/>
        <w:tblCellMar>
          <w:top w:w="0" w:type="dxa"/>
          <w:left w:w="108" w:type="dxa"/>
          <w:bottom w:w="0" w:type="dxa"/>
          <w:right w:w="108" w:type="dxa"/>
        </w:tblCellMar>
      </w:tblPr>
      <w:tblGrid>
        <w:gridCol w:w="1039"/>
        <w:gridCol w:w="1145"/>
        <w:gridCol w:w="3549"/>
        <w:gridCol w:w="3380"/>
      </w:tblGrid>
      <w:tr w14:paraId="1C8E4E65">
        <w:tblPrEx>
          <w:tblCellMar>
            <w:top w:w="0" w:type="dxa"/>
            <w:left w:w="108" w:type="dxa"/>
            <w:bottom w:w="0" w:type="dxa"/>
            <w:right w:w="108" w:type="dxa"/>
          </w:tblCellMar>
        </w:tblPrEx>
        <w:trPr>
          <w:trHeight w:val="23"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20CCB">
            <w:pPr>
              <w:widowControl/>
              <w:jc w:val="center"/>
              <w:textAlignment w:val="center"/>
              <w:rPr>
                <w:rFonts w:ascii="Times New Roman" w:hAnsi="Times New Roman" w:eastAsia="仿宋_GB2312" w:cs="Times New Roman"/>
                <w:b/>
                <w:bCs/>
                <w:color w:val="000000"/>
                <w:kern w:val="0"/>
                <w:sz w:val="24"/>
                <w:szCs w:val="24"/>
                <w:lang w:bidi="ar"/>
              </w:rPr>
            </w:pPr>
            <w:r>
              <w:rPr>
                <w:rFonts w:ascii="Times New Roman" w:hAnsi="Times New Roman" w:eastAsia="仿宋_GB2312" w:cs="Times New Roman"/>
                <w:b/>
                <w:bCs/>
                <w:color w:val="000000"/>
                <w:kern w:val="0"/>
                <w:sz w:val="24"/>
                <w:szCs w:val="24"/>
                <w:lang w:bidi="ar"/>
              </w:rPr>
              <w:t>评分</w:t>
            </w:r>
          </w:p>
          <w:p w14:paraId="40BF0704">
            <w:pPr>
              <w:widowControl/>
              <w:jc w:val="center"/>
              <w:textAlignment w:val="center"/>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kern w:val="0"/>
                <w:sz w:val="24"/>
                <w:szCs w:val="24"/>
                <w:lang w:bidi="ar"/>
              </w:rPr>
              <w:t>指标</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9C5D1">
            <w:pPr>
              <w:widowControl/>
              <w:jc w:val="center"/>
              <w:textAlignment w:val="center"/>
              <w:rPr>
                <w:rFonts w:ascii="Times New Roman" w:hAnsi="Times New Roman" w:eastAsia="仿宋_GB2312" w:cs="Times New Roman"/>
                <w:b/>
                <w:bCs/>
                <w:color w:val="000000"/>
                <w:kern w:val="0"/>
                <w:sz w:val="24"/>
                <w:szCs w:val="24"/>
                <w:lang w:bidi="ar"/>
              </w:rPr>
            </w:pPr>
            <w:r>
              <w:rPr>
                <w:rFonts w:ascii="Times New Roman" w:hAnsi="Times New Roman" w:eastAsia="仿宋_GB2312" w:cs="Times New Roman"/>
                <w:b/>
                <w:bCs/>
                <w:color w:val="000000"/>
                <w:kern w:val="0"/>
                <w:sz w:val="24"/>
                <w:szCs w:val="24"/>
                <w:lang w:bidi="ar"/>
              </w:rPr>
              <w:t>参考</w:t>
            </w:r>
          </w:p>
          <w:p w14:paraId="4D1C67CA">
            <w:pPr>
              <w:widowControl/>
              <w:jc w:val="center"/>
              <w:textAlignment w:val="center"/>
              <w:rPr>
                <w:rFonts w:ascii="Times New Roman" w:hAnsi="Times New Roman" w:cs="Times New Roman"/>
                <w:b/>
                <w:bCs/>
                <w:color w:val="000000"/>
                <w:sz w:val="24"/>
                <w:szCs w:val="24"/>
              </w:rPr>
            </w:pPr>
            <w:r>
              <w:rPr>
                <w:rFonts w:ascii="Times New Roman" w:hAnsi="Times New Roman" w:eastAsia="仿宋_GB2312" w:cs="Times New Roman"/>
                <w:b/>
                <w:bCs/>
                <w:color w:val="000000"/>
                <w:kern w:val="0"/>
                <w:sz w:val="24"/>
                <w:szCs w:val="24"/>
                <w:lang w:bidi="ar"/>
              </w:rPr>
              <w:t>因素</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EA8B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统计口径</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5B327">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对应分值</w:t>
            </w:r>
          </w:p>
        </w:tc>
      </w:tr>
      <w:tr w14:paraId="482063F9">
        <w:tblPrEx>
          <w:tblCellMar>
            <w:top w:w="0" w:type="dxa"/>
            <w:left w:w="108" w:type="dxa"/>
            <w:bottom w:w="0" w:type="dxa"/>
            <w:right w:w="108" w:type="dxa"/>
          </w:tblCellMar>
        </w:tblPrEx>
        <w:trPr>
          <w:trHeight w:val="23" w:hRule="atLeast"/>
          <w:jc w:val="center"/>
        </w:trPr>
        <w:tc>
          <w:tcPr>
            <w:tcW w:w="10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818172B">
            <w:pPr>
              <w:widowControl/>
              <w:jc w:val="center"/>
              <w:textAlignment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bidi="ar"/>
              </w:rPr>
              <w:t>业务发展水平</w:t>
            </w:r>
            <w:r>
              <w:rPr>
                <w:rFonts w:hint="eastAsia" w:ascii="Times New Roman" w:hAnsi="Times New Roman" w:eastAsia="仿宋_GB2312" w:cs="Times New Roman"/>
                <w:b/>
                <w:bCs/>
                <w:color w:val="000000"/>
                <w:kern w:val="0"/>
                <w:sz w:val="24"/>
                <w:szCs w:val="24"/>
                <w:lang w:bidi="ar"/>
              </w:rPr>
              <w:br w:type="textWrapping"/>
            </w:r>
            <w:r>
              <w:rPr>
                <w:rFonts w:ascii="Times New Roman" w:hAnsi="Times New Roman" w:eastAsia="仿宋_GB2312" w:cs="Times New Roman"/>
                <w:b/>
                <w:bCs/>
                <w:color w:val="000000"/>
                <w:kern w:val="0"/>
                <w:szCs w:val="21"/>
                <w:lang w:bidi="ar"/>
              </w:rPr>
              <w:t>（</w:t>
            </w:r>
            <w:r>
              <w:rPr>
                <w:rFonts w:hint="eastAsia" w:ascii="Times New Roman" w:hAnsi="Times New Roman" w:eastAsia="仿宋_GB2312" w:cs="Times New Roman"/>
                <w:b/>
                <w:bCs/>
                <w:color w:val="000000"/>
                <w:kern w:val="0"/>
                <w:szCs w:val="21"/>
                <w:lang w:bidi="ar"/>
              </w:rPr>
              <w:t>30</w:t>
            </w:r>
            <w:r>
              <w:rPr>
                <w:rFonts w:ascii="Times New Roman" w:hAnsi="Times New Roman" w:eastAsia="仿宋_GB2312" w:cs="Times New Roman"/>
                <w:b/>
                <w:bCs/>
                <w:color w:val="000000"/>
                <w:kern w:val="0"/>
                <w:szCs w:val="21"/>
                <w:lang w:bidi="ar"/>
              </w:rPr>
              <w:t>分）</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DA63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全口径资产管理规模</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F77C4">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按照公司上一年度末全口径资产管理规模进行排名和评分。</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B25F29">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在合作区同行业排名前五名的分别得</w:t>
            </w:r>
            <w:r>
              <w:rPr>
                <w:rFonts w:hint="eastAsia" w:ascii="Times New Roman" w:hAnsi="Times New Roman" w:eastAsia="仿宋_GB2312" w:cs="Times New Roman"/>
                <w:color w:val="000000"/>
                <w:kern w:val="0"/>
                <w:sz w:val="24"/>
                <w:szCs w:val="24"/>
                <w:lang w:bidi="ar"/>
              </w:rPr>
              <w:t>20、</w:t>
            </w:r>
            <w:r>
              <w:rPr>
                <w:rFonts w:ascii="Times New Roman" w:hAnsi="Times New Roman" w:eastAsia="仿宋_GB2312" w:cs="Times New Roman"/>
                <w:color w:val="000000"/>
                <w:kern w:val="0"/>
                <w:sz w:val="24"/>
                <w:szCs w:val="24"/>
                <w:lang w:bidi="ar"/>
              </w:rPr>
              <w:t>1</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8</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4</w:t>
            </w:r>
            <w:r>
              <w:rPr>
                <w:rFonts w:ascii="Times New Roman" w:hAnsi="Times New Roman" w:eastAsia="仿宋_GB2312" w:cs="Times New Roman"/>
                <w:color w:val="000000"/>
                <w:kern w:val="0"/>
                <w:sz w:val="24"/>
                <w:szCs w:val="24"/>
                <w:lang w:bidi="ar"/>
              </w:rPr>
              <w:t>分，第五名以后得0分</w:t>
            </w:r>
            <w:r>
              <w:rPr>
                <w:rFonts w:hint="eastAsia" w:ascii="Times New Roman" w:hAnsi="Times New Roman" w:eastAsia="仿宋_GB2312" w:cs="Times New Roman"/>
                <w:color w:val="000000"/>
                <w:kern w:val="0"/>
                <w:sz w:val="24"/>
                <w:szCs w:val="24"/>
                <w:lang w:bidi="ar"/>
              </w:rPr>
              <w:t>。</w:t>
            </w:r>
          </w:p>
        </w:tc>
      </w:tr>
      <w:tr w14:paraId="433A9A4F">
        <w:tblPrEx>
          <w:tblCellMar>
            <w:top w:w="0" w:type="dxa"/>
            <w:left w:w="108" w:type="dxa"/>
            <w:bottom w:w="0" w:type="dxa"/>
            <w:right w:w="108" w:type="dxa"/>
          </w:tblCellMar>
        </w:tblPrEx>
        <w:trPr>
          <w:trHeight w:val="23" w:hRule="atLeast"/>
          <w:jc w:val="center"/>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0C1649">
            <w:pPr>
              <w:widowControl/>
              <w:jc w:val="center"/>
              <w:textAlignment w:val="center"/>
              <w:rPr>
                <w:rFonts w:ascii="Times New Roman" w:hAnsi="Times New Roman" w:eastAsia="仿宋_GB2312" w:cs="Times New Roman"/>
                <w:b/>
                <w:bCs/>
                <w:color w:val="000000"/>
                <w:kern w:val="0"/>
                <w:sz w:val="24"/>
                <w:szCs w:val="24"/>
                <w:lang w:bidi="ar"/>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A0A88">
            <w:pPr>
              <w:widowControl/>
              <w:jc w:val="center"/>
              <w:textAlignment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bidi="ar"/>
              </w:rPr>
              <w:t>跨境金融创新</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2D0FF">
            <w:pPr>
              <w:widowControl/>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bidi="ar"/>
              </w:rPr>
              <w:t>按照公司上一年度发行葡、西语国家相关的跨境金融产品合计规模进行排名和评分。</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C962E">
            <w:pPr>
              <w:widowControl/>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在合作区同行业排名前五名的公司分别得10、8、6、4、2分，第五名以后及</w:t>
            </w:r>
            <w:r>
              <w:rPr>
                <w:rFonts w:hint="eastAsia" w:ascii="Times New Roman" w:hAnsi="Times New Roman" w:eastAsia="仿宋_GB2312" w:cs="Times New Roman"/>
                <w:color w:val="000000"/>
                <w:kern w:val="0"/>
                <w:sz w:val="24"/>
                <w:szCs w:val="24"/>
                <w:lang w:bidi="ar"/>
              </w:rPr>
              <w:t>合计规模为0的</w:t>
            </w:r>
            <w:r>
              <w:rPr>
                <w:rFonts w:ascii="Times New Roman" w:hAnsi="Times New Roman" w:eastAsia="仿宋_GB2312" w:cs="Times New Roman"/>
                <w:color w:val="000000"/>
                <w:kern w:val="0"/>
                <w:sz w:val="24"/>
                <w:szCs w:val="24"/>
                <w:lang w:bidi="ar"/>
              </w:rPr>
              <w:t>均得0分。</w:t>
            </w:r>
          </w:p>
        </w:tc>
      </w:tr>
      <w:tr w14:paraId="0C9463EA">
        <w:tblPrEx>
          <w:tblCellMar>
            <w:top w:w="0" w:type="dxa"/>
            <w:left w:w="108" w:type="dxa"/>
            <w:bottom w:w="0" w:type="dxa"/>
            <w:right w:w="108" w:type="dxa"/>
          </w:tblCellMar>
        </w:tblPrEx>
        <w:trPr>
          <w:trHeight w:val="23" w:hRule="atLeast"/>
          <w:jc w:val="center"/>
        </w:trPr>
        <w:tc>
          <w:tcPr>
            <w:tcW w:w="1039" w:type="dxa"/>
            <w:vMerge w:val="restart"/>
            <w:tcBorders>
              <w:top w:val="single" w:color="000000" w:sz="4" w:space="0"/>
              <w:left w:val="single" w:color="000000" w:sz="4" w:space="0"/>
              <w:right w:val="single" w:color="000000" w:sz="4" w:space="0"/>
            </w:tcBorders>
            <w:shd w:val="clear" w:color="auto" w:fill="FFFFFF"/>
            <w:vAlign w:val="center"/>
          </w:tcPr>
          <w:p w14:paraId="7B96B2FA">
            <w:pPr>
              <w:widowControl/>
              <w:jc w:val="center"/>
              <w:textAlignment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bidi="ar"/>
              </w:rPr>
              <w:t>金融生态建设与</w:t>
            </w:r>
            <w:r>
              <w:rPr>
                <w:rFonts w:ascii="Times New Roman" w:hAnsi="Times New Roman" w:eastAsia="仿宋_GB2312" w:cs="Times New Roman"/>
                <w:b/>
                <w:bCs/>
                <w:color w:val="000000"/>
                <w:kern w:val="0"/>
                <w:sz w:val="24"/>
                <w:szCs w:val="24"/>
                <w:lang w:bidi="ar"/>
              </w:rPr>
              <w:t>实质化运作</w:t>
            </w:r>
          </w:p>
          <w:p w14:paraId="0BAA93E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Cs w:val="21"/>
                <w:lang w:bidi="ar"/>
              </w:rPr>
              <w:t>（</w:t>
            </w:r>
            <w:r>
              <w:rPr>
                <w:rFonts w:hint="eastAsia" w:ascii="Times New Roman" w:hAnsi="Times New Roman" w:eastAsia="仿宋_GB2312" w:cs="Times New Roman"/>
                <w:b/>
                <w:bCs/>
                <w:color w:val="000000"/>
                <w:kern w:val="0"/>
                <w:szCs w:val="21"/>
                <w:lang w:bidi="ar"/>
              </w:rPr>
              <w:t>40</w:t>
            </w:r>
            <w:r>
              <w:rPr>
                <w:rFonts w:ascii="Times New Roman" w:hAnsi="Times New Roman" w:eastAsia="仿宋_GB2312" w:cs="Times New Roman"/>
                <w:b/>
                <w:bCs/>
                <w:color w:val="000000"/>
                <w:kern w:val="0"/>
                <w:szCs w:val="21"/>
                <w:lang w:bidi="ar"/>
              </w:rPr>
              <w:t>分）</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B634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日均办公人数</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3C38EF">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按照公司上一年度日均办公人数</w:t>
            </w:r>
            <w:r>
              <w:rPr>
                <w:rStyle w:val="19"/>
                <w:rFonts w:ascii="Times New Roman" w:hAnsi="Times New Roman" w:eastAsia="仿宋_GB2312" w:cs="Times New Roman"/>
                <w:color w:val="000000"/>
                <w:kern w:val="0"/>
                <w:sz w:val="24"/>
                <w:szCs w:val="24"/>
                <w:lang w:bidi="ar"/>
              </w:rPr>
              <w:footnoteReference w:id="2"/>
            </w:r>
            <w:r>
              <w:rPr>
                <w:rFonts w:ascii="Times New Roman" w:hAnsi="Times New Roman" w:eastAsia="仿宋_GB2312" w:cs="Times New Roman"/>
                <w:color w:val="000000"/>
                <w:kern w:val="0"/>
                <w:sz w:val="24"/>
                <w:szCs w:val="24"/>
                <w:lang w:bidi="ar"/>
              </w:rPr>
              <w:t>进行排名和评分。</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6FC997">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分，第五名以后得0分。</w:t>
            </w:r>
          </w:p>
        </w:tc>
      </w:tr>
      <w:tr w14:paraId="7D52ADAD">
        <w:tblPrEx>
          <w:tblCellMar>
            <w:top w:w="0" w:type="dxa"/>
            <w:left w:w="108" w:type="dxa"/>
            <w:bottom w:w="0" w:type="dxa"/>
            <w:right w:w="108" w:type="dxa"/>
          </w:tblCellMar>
        </w:tblPrEx>
        <w:trPr>
          <w:trHeight w:val="23" w:hRule="atLeast"/>
          <w:jc w:val="center"/>
        </w:trPr>
        <w:tc>
          <w:tcPr>
            <w:tcW w:w="1039" w:type="dxa"/>
            <w:vMerge w:val="continue"/>
            <w:tcBorders>
              <w:left w:val="single" w:color="000000" w:sz="4" w:space="0"/>
              <w:right w:val="single" w:color="000000" w:sz="4" w:space="0"/>
            </w:tcBorders>
            <w:shd w:val="clear" w:color="auto" w:fill="FFFFFF"/>
            <w:vAlign w:val="center"/>
          </w:tcPr>
          <w:p w14:paraId="4FEA0D5E">
            <w:pPr>
              <w:jc w:val="center"/>
              <w:rPr>
                <w:rFonts w:ascii="Times New Roman" w:hAnsi="Times New Roman" w:eastAsia="仿宋_GB2312" w:cs="Times New Roman"/>
                <w:b/>
                <w:bCs/>
                <w:color w:val="000000"/>
                <w:sz w:val="24"/>
                <w:szCs w:val="24"/>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193EED">
            <w:pPr>
              <w:widowControl/>
              <w:jc w:val="center"/>
              <w:textAlignment w:val="center"/>
              <w:rPr>
                <w:rFonts w:ascii="Times New Roman" w:hAnsi="Times New Roman" w:eastAsia="仿宋_GB2312" w:cs="Times New Roman"/>
                <w:b/>
                <w:bCs/>
                <w:color w:val="000000"/>
                <w:kern w:val="0"/>
                <w:sz w:val="24"/>
                <w:szCs w:val="24"/>
                <w:lang w:bidi="ar"/>
              </w:rPr>
            </w:pPr>
            <w:r>
              <w:rPr>
                <w:rFonts w:ascii="Times New Roman" w:hAnsi="Times New Roman" w:eastAsia="仿宋_GB2312" w:cs="Times New Roman"/>
                <w:b/>
                <w:bCs/>
                <w:color w:val="000000"/>
                <w:kern w:val="0"/>
                <w:sz w:val="24"/>
                <w:szCs w:val="24"/>
                <w:lang w:bidi="ar"/>
              </w:rPr>
              <w:t>办公</w:t>
            </w:r>
          </w:p>
          <w:p w14:paraId="71079A7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面积</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CB9E2">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w:t>
            </w:r>
            <w:r>
              <w:rPr>
                <w:rFonts w:hint="eastAsia" w:ascii="Times New Roman" w:hAnsi="Times New Roman" w:eastAsia="仿宋_GB2312" w:cs="Times New Roman"/>
                <w:color w:val="000000"/>
                <w:kern w:val="0"/>
                <w:sz w:val="24"/>
                <w:szCs w:val="24"/>
                <w:lang w:bidi="ar"/>
              </w:rPr>
              <w:t>在澳门及合作区的</w:t>
            </w:r>
            <w:r>
              <w:rPr>
                <w:rFonts w:ascii="Times New Roman" w:hAnsi="Times New Roman" w:eastAsia="仿宋_GB2312" w:cs="Times New Roman"/>
                <w:color w:val="000000"/>
                <w:kern w:val="0"/>
                <w:sz w:val="24"/>
                <w:szCs w:val="24"/>
                <w:lang w:bidi="ar"/>
              </w:rPr>
              <w:t>办公</w:t>
            </w:r>
            <w:r>
              <w:rPr>
                <w:rFonts w:hint="eastAsia" w:ascii="Times New Roman" w:hAnsi="Times New Roman" w:eastAsia="仿宋_GB2312" w:cs="Times New Roman"/>
                <w:color w:val="000000"/>
                <w:kern w:val="0"/>
                <w:sz w:val="24"/>
                <w:szCs w:val="24"/>
                <w:lang w:bidi="ar"/>
              </w:rPr>
              <w:t>场地</w:t>
            </w:r>
            <w:r>
              <w:rPr>
                <w:rFonts w:ascii="Times New Roman" w:hAnsi="Times New Roman" w:eastAsia="仿宋_GB2312" w:cs="Times New Roman"/>
                <w:color w:val="000000"/>
                <w:kern w:val="0"/>
                <w:sz w:val="24"/>
                <w:szCs w:val="24"/>
                <w:lang w:bidi="ar"/>
              </w:rPr>
              <w:t>面积进行排名和评分。</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E4AC8E">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在合作区同行业排名前五名的分别得10、8、6、4、2分，第五名以后得0分。</w:t>
            </w:r>
          </w:p>
        </w:tc>
      </w:tr>
      <w:tr w14:paraId="78E987CE">
        <w:tblPrEx>
          <w:tblCellMar>
            <w:top w:w="0" w:type="dxa"/>
            <w:left w:w="108" w:type="dxa"/>
            <w:bottom w:w="0" w:type="dxa"/>
            <w:right w:w="108" w:type="dxa"/>
          </w:tblCellMar>
        </w:tblPrEx>
        <w:trPr>
          <w:trHeight w:val="23" w:hRule="atLeast"/>
          <w:jc w:val="center"/>
        </w:trPr>
        <w:tc>
          <w:tcPr>
            <w:tcW w:w="1039" w:type="dxa"/>
            <w:vMerge w:val="continue"/>
            <w:tcBorders>
              <w:left w:val="single" w:color="000000" w:sz="4" w:space="0"/>
              <w:bottom w:val="single" w:color="000000" w:sz="4" w:space="0"/>
              <w:right w:val="single" w:color="000000" w:sz="4" w:space="0"/>
            </w:tcBorders>
            <w:shd w:val="clear" w:color="auto" w:fill="FFFFFF"/>
            <w:vAlign w:val="center"/>
          </w:tcPr>
          <w:p w14:paraId="44245C07">
            <w:pPr>
              <w:jc w:val="center"/>
              <w:rPr>
                <w:rFonts w:ascii="Times New Roman" w:hAnsi="Times New Roman" w:eastAsia="仿宋_GB2312" w:cs="Times New Roman"/>
                <w:b/>
                <w:bCs/>
                <w:color w:val="000000"/>
                <w:sz w:val="24"/>
                <w:szCs w:val="24"/>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24EFB">
            <w:pPr>
              <w:jc w:val="center"/>
              <w:rPr>
                <w:rFonts w:ascii="Times New Roman" w:hAnsi="Times New Roman" w:eastAsia="仿宋_GB2312" w:cs="Times New Roman"/>
                <w:b/>
                <w:bCs/>
                <w:color w:val="000000"/>
                <w:kern w:val="0"/>
                <w:sz w:val="24"/>
                <w:szCs w:val="24"/>
                <w:lang w:bidi="ar"/>
              </w:rPr>
            </w:pPr>
            <w:r>
              <w:rPr>
                <w:rFonts w:hint="eastAsia" w:ascii="Times New Roman" w:hAnsi="Times New Roman" w:eastAsia="仿宋_GB2312" w:cs="Times New Roman"/>
                <w:b/>
                <w:bCs/>
                <w:color w:val="000000"/>
                <w:kern w:val="0"/>
                <w:sz w:val="24"/>
                <w:szCs w:val="24"/>
                <w:lang w:val="en-US" w:eastAsia="zh-CN" w:bidi="ar"/>
              </w:rPr>
              <w:t>举办</w:t>
            </w:r>
            <w:r>
              <w:rPr>
                <w:rFonts w:ascii="Times New Roman" w:hAnsi="Times New Roman" w:eastAsia="仿宋_GB2312" w:cs="Times New Roman"/>
                <w:b/>
                <w:bCs/>
                <w:color w:val="000000"/>
                <w:kern w:val="0"/>
                <w:sz w:val="24"/>
                <w:szCs w:val="24"/>
                <w:lang w:bidi="ar"/>
              </w:rPr>
              <w:t>金融行业相关交流活动</w:t>
            </w:r>
            <w:r>
              <w:rPr>
                <w:rFonts w:hint="eastAsia" w:ascii="Times New Roman" w:hAnsi="Times New Roman" w:eastAsia="仿宋_GB2312" w:cs="Times New Roman"/>
                <w:b/>
                <w:bCs/>
                <w:color w:val="000000"/>
                <w:kern w:val="0"/>
                <w:sz w:val="24"/>
                <w:szCs w:val="24"/>
                <w:lang w:val="en-US" w:eastAsia="zh-CN" w:bidi="ar"/>
              </w:rPr>
              <w:t>情况</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AA31F">
            <w:pP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按照公司上一年度</w:t>
            </w:r>
            <w:r>
              <w:rPr>
                <w:rFonts w:hint="eastAsia" w:ascii="Times New Roman" w:hAnsi="Times New Roman" w:eastAsia="仿宋_GB2312" w:cs="Times New Roman"/>
                <w:color w:val="000000"/>
                <w:kern w:val="0"/>
                <w:sz w:val="24"/>
                <w:szCs w:val="24"/>
                <w:lang w:bidi="ar"/>
              </w:rPr>
              <w:t>在澳门及合作区</w:t>
            </w:r>
            <w:r>
              <w:rPr>
                <w:rFonts w:ascii="Times New Roman" w:hAnsi="Times New Roman" w:eastAsia="仿宋_GB2312" w:cs="Times New Roman"/>
                <w:color w:val="000000"/>
                <w:kern w:val="0"/>
                <w:sz w:val="24"/>
                <w:szCs w:val="24"/>
                <w:lang w:bidi="ar"/>
              </w:rPr>
              <w:t>主办</w:t>
            </w:r>
            <w:r>
              <w:rPr>
                <w:rFonts w:hint="eastAsia" w:ascii="Times New Roman" w:hAnsi="Times New Roman" w:eastAsia="仿宋_GB2312" w:cs="Times New Roman"/>
                <w:color w:val="000000"/>
                <w:kern w:val="0"/>
                <w:sz w:val="24"/>
                <w:szCs w:val="24"/>
                <w:lang w:bidi="ar"/>
              </w:rPr>
              <w:t>或出资合作</w:t>
            </w:r>
            <w:r>
              <w:rPr>
                <w:rFonts w:ascii="Times New Roman" w:hAnsi="Times New Roman" w:eastAsia="仿宋_GB2312" w:cs="Times New Roman"/>
                <w:color w:val="000000"/>
                <w:kern w:val="0"/>
                <w:sz w:val="24"/>
                <w:szCs w:val="24"/>
                <w:lang w:bidi="ar"/>
              </w:rPr>
              <w:t>的金融行业相关交流活动</w:t>
            </w:r>
            <w:r>
              <w:rPr>
                <w:rStyle w:val="19"/>
                <w:rFonts w:ascii="Times New Roman" w:hAnsi="Times New Roman" w:eastAsia="仿宋_GB2312" w:cs="Times New Roman"/>
                <w:color w:val="000000"/>
                <w:kern w:val="0"/>
                <w:sz w:val="24"/>
                <w:szCs w:val="24"/>
                <w:lang w:bidi="ar"/>
              </w:rPr>
              <w:footnoteReference w:id="3"/>
            </w:r>
            <w:r>
              <w:rPr>
                <w:rFonts w:hint="eastAsia" w:ascii="Times New Roman" w:hAnsi="Times New Roman" w:eastAsia="仿宋_GB2312" w:cs="Times New Roman"/>
                <w:color w:val="000000"/>
                <w:kern w:val="0"/>
                <w:sz w:val="24"/>
                <w:szCs w:val="24"/>
                <w:lang w:val="en-US" w:eastAsia="zh-CN" w:bidi="ar"/>
              </w:rPr>
              <w:t>的情况</w:t>
            </w:r>
            <w:r>
              <w:rPr>
                <w:rFonts w:ascii="Times New Roman" w:hAnsi="Times New Roman" w:eastAsia="仿宋_GB2312" w:cs="Times New Roman"/>
                <w:color w:val="000000"/>
                <w:kern w:val="0"/>
                <w:sz w:val="24"/>
                <w:szCs w:val="24"/>
                <w:lang w:bidi="ar"/>
              </w:rPr>
              <w:t>进行排名和评分</w:t>
            </w:r>
            <w:r>
              <w:rPr>
                <w:rFonts w:hint="eastAsia" w:ascii="Times New Roman" w:hAnsi="Times New Roman" w:eastAsia="仿宋_GB2312" w:cs="Times New Roman"/>
                <w:color w:val="000000"/>
                <w:kern w:val="0"/>
                <w:sz w:val="24"/>
                <w:szCs w:val="24"/>
                <w:lang w:bidi="ar"/>
              </w:rPr>
              <w:t>；对于省级以上金融主管部门参与主办的重大金融活动，可将活动举办地域范围拓展至珠海市。</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41385">
            <w:r>
              <w:rPr>
                <w:rFonts w:ascii="Times New Roman" w:hAnsi="Times New Roman" w:eastAsia="仿宋_GB2312" w:cs="Times New Roman"/>
                <w:color w:val="000000"/>
                <w:kern w:val="0"/>
                <w:sz w:val="24"/>
                <w:szCs w:val="24"/>
                <w:lang w:bidi="ar"/>
              </w:rPr>
              <w:t>在合作区同行业排名前五名的公司分别得1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分，第五名以后得0分。</w:t>
            </w:r>
          </w:p>
        </w:tc>
      </w:tr>
      <w:tr w14:paraId="4A5813CC">
        <w:tblPrEx>
          <w:tblCellMar>
            <w:top w:w="0" w:type="dxa"/>
            <w:left w:w="108" w:type="dxa"/>
            <w:bottom w:w="0" w:type="dxa"/>
            <w:right w:w="108" w:type="dxa"/>
          </w:tblCellMar>
        </w:tblPrEx>
        <w:trPr>
          <w:trHeight w:val="23" w:hRule="atLeast"/>
          <w:jc w:val="center"/>
        </w:trPr>
        <w:tc>
          <w:tcPr>
            <w:tcW w:w="10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D8A485">
            <w:pPr>
              <w:widowControl/>
              <w:jc w:val="center"/>
              <w:textAlignment w:val="center"/>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培育</w:t>
            </w:r>
            <w:r>
              <w:rPr>
                <w:rFonts w:ascii="Times New Roman" w:hAnsi="Times New Roman" w:eastAsia="仿宋_GB2312" w:cs="Times New Roman"/>
                <w:b/>
                <w:bCs/>
                <w:color w:val="000000"/>
                <w:sz w:val="24"/>
                <w:szCs w:val="24"/>
              </w:rPr>
              <w:t>澳门人才</w:t>
            </w:r>
          </w:p>
          <w:p w14:paraId="7DA610A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Cs w:val="21"/>
                <w:lang w:bidi="ar"/>
              </w:rPr>
              <w:t>（</w:t>
            </w:r>
            <w:r>
              <w:rPr>
                <w:rFonts w:hint="eastAsia" w:ascii="Times New Roman" w:hAnsi="Times New Roman" w:eastAsia="仿宋_GB2312" w:cs="Times New Roman"/>
                <w:b/>
                <w:bCs/>
                <w:color w:val="000000"/>
                <w:kern w:val="0"/>
                <w:szCs w:val="21"/>
                <w:lang w:bidi="ar"/>
              </w:rPr>
              <w:t>30</w:t>
            </w:r>
            <w:r>
              <w:rPr>
                <w:rFonts w:ascii="Times New Roman" w:hAnsi="Times New Roman" w:eastAsia="仿宋_GB2312" w:cs="Times New Roman"/>
                <w:b/>
                <w:bCs/>
                <w:color w:val="000000"/>
                <w:kern w:val="0"/>
                <w:szCs w:val="21"/>
                <w:lang w:bidi="ar"/>
              </w:rPr>
              <w:t>分）</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6134B">
            <w:pPr>
              <w:widowControl/>
              <w:jc w:val="center"/>
              <w:textAlignment w:val="center"/>
              <w:rPr>
                <w:rFonts w:ascii="Times New Roman" w:hAnsi="Times New Roman" w:eastAsia="仿宋_GB2312" w:cs="Times New Roman"/>
                <w:b/>
                <w:bCs/>
                <w:color w:val="000000"/>
                <w:kern w:val="0"/>
                <w:sz w:val="24"/>
                <w:szCs w:val="24"/>
                <w:lang w:bidi="ar"/>
              </w:rPr>
            </w:pPr>
            <w:r>
              <w:rPr>
                <w:rFonts w:ascii="Times New Roman" w:hAnsi="Times New Roman" w:eastAsia="仿宋_GB2312" w:cs="Times New Roman"/>
                <w:b/>
                <w:bCs/>
                <w:color w:val="000000"/>
                <w:kern w:val="0"/>
                <w:sz w:val="24"/>
                <w:szCs w:val="24"/>
                <w:lang w:bidi="ar"/>
              </w:rPr>
              <w:t>澳门籍员工</w:t>
            </w:r>
          </w:p>
          <w:p w14:paraId="005D89DA">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人数</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A7332">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按照公司上一年度末在职澳门籍正式员工人数</w:t>
            </w:r>
            <w:r>
              <w:rPr>
                <w:rFonts w:hint="eastAsia" w:ascii="Times New Roman" w:hAnsi="Times New Roman" w:eastAsia="仿宋_GB2312" w:cs="Times New Roman"/>
                <w:color w:val="000000"/>
                <w:kern w:val="0"/>
                <w:sz w:val="24"/>
                <w:szCs w:val="24"/>
                <w:lang w:bidi="ar"/>
              </w:rPr>
              <w:t>进行</w:t>
            </w:r>
            <w:r>
              <w:rPr>
                <w:rFonts w:ascii="Times New Roman" w:hAnsi="Times New Roman" w:eastAsia="仿宋_GB2312" w:cs="Times New Roman"/>
                <w:color w:val="000000"/>
                <w:kern w:val="0"/>
                <w:sz w:val="24"/>
                <w:szCs w:val="24"/>
                <w:lang w:bidi="ar"/>
              </w:rPr>
              <w:t>排名和评分。</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CE907">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在合作区同行业排名前五名的公司分别得1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分，第五名以后及未招聘的情况均得0分。</w:t>
            </w:r>
          </w:p>
        </w:tc>
      </w:tr>
      <w:tr w14:paraId="1EF74C52">
        <w:tblPrEx>
          <w:tblCellMar>
            <w:top w:w="0" w:type="dxa"/>
            <w:left w:w="108" w:type="dxa"/>
            <w:bottom w:w="0" w:type="dxa"/>
            <w:right w:w="108" w:type="dxa"/>
          </w:tblCellMar>
        </w:tblPrEx>
        <w:trPr>
          <w:trHeight w:val="23" w:hRule="atLeast"/>
          <w:jc w:val="center"/>
        </w:trPr>
        <w:tc>
          <w:tcPr>
            <w:tcW w:w="10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0282A6">
            <w:pPr>
              <w:jc w:val="center"/>
              <w:rPr>
                <w:rFonts w:ascii="Times New Roman" w:hAnsi="Times New Roman" w:eastAsia="仿宋_GB2312" w:cs="Times New Roman"/>
                <w:b/>
                <w:bCs/>
                <w:color w:val="000000"/>
                <w:sz w:val="24"/>
                <w:szCs w:val="24"/>
              </w:rPr>
            </w:pP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B69FE">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澳门籍员工与社保人数占比</w:t>
            </w:r>
          </w:p>
        </w:tc>
        <w:tc>
          <w:tcPr>
            <w:tcW w:w="35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B042B">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按照公司上一年度末在职澳门籍正式员工人数占公司在合作区缴纳社保人数的比例进行评分。</w:t>
            </w:r>
          </w:p>
        </w:tc>
        <w:tc>
          <w:tcPr>
            <w:tcW w:w="33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05308">
            <w:pPr>
              <w:widowControl/>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在比例达2.5%、2%、1.5%、1%、0.5%的情况下，分别得1</w:t>
            </w:r>
            <w:r>
              <w:rPr>
                <w:rFonts w:hint="eastAsia" w:ascii="Times New Roman" w:hAnsi="Times New Roman" w:eastAsia="仿宋_GB2312" w:cs="Times New Roman"/>
                <w:color w:val="000000"/>
                <w:kern w:val="0"/>
                <w:sz w:val="24"/>
                <w:szCs w:val="24"/>
                <w:lang w:bidi="ar"/>
              </w:rPr>
              <w:t>5</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12</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9</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6</w:t>
            </w:r>
            <w:r>
              <w:rPr>
                <w:rFonts w:ascii="Times New Roman" w:hAnsi="Times New Roman" w:eastAsia="仿宋_GB2312" w:cs="Times New Roman"/>
                <w:color w:val="000000"/>
                <w:kern w:val="0"/>
                <w:sz w:val="24"/>
                <w:szCs w:val="24"/>
                <w:lang w:bidi="ar"/>
              </w:rPr>
              <w:t>、</w:t>
            </w:r>
            <w:r>
              <w:rPr>
                <w:rFonts w:hint="eastAsia" w:ascii="Times New Roman" w:hAnsi="Times New Roman" w:eastAsia="仿宋_GB2312" w:cs="Times New Roman"/>
                <w:color w:val="000000"/>
                <w:kern w:val="0"/>
                <w:sz w:val="24"/>
                <w:szCs w:val="24"/>
                <w:lang w:bidi="ar"/>
              </w:rPr>
              <w:t>3</w:t>
            </w:r>
            <w:r>
              <w:rPr>
                <w:rFonts w:ascii="Times New Roman" w:hAnsi="Times New Roman" w:eastAsia="仿宋_GB2312" w:cs="Times New Roman"/>
                <w:color w:val="000000"/>
                <w:kern w:val="0"/>
                <w:sz w:val="24"/>
                <w:szCs w:val="24"/>
                <w:lang w:bidi="ar"/>
              </w:rPr>
              <w:t>分，人数未达0.5%的情况得0分。</w:t>
            </w:r>
          </w:p>
        </w:tc>
      </w:tr>
    </w:tbl>
    <w:p w14:paraId="0CF6FB6B">
      <w:pPr>
        <w:pStyle w:val="2"/>
        <w:keepNext w:val="0"/>
        <w:keepLines w:val="0"/>
        <w:pageBreakBefore w:val="0"/>
        <w:widowControl w:val="0"/>
        <w:kinsoku/>
        <w:wordWrap/>
        <w:overflowPunct/>
        <w:topLinePunct w:val="0"/>
        <w:autoSpaceDE/>
        <w:autoSpaceDN/>
        <w:bidi w:val="0"/>
        <w:adjustRightInd/>
        <w:snapToGrid/>
        <w:spacing w:line="579" w:lineRule="exact"/>
        <w:ind w:firstLine="0" w:firstLineChars="0"/>
        <w:textAlignment w:val="auto"/>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 xml:space="preserve">    </w:t>
      </w:r>
      <w:r>
        <w:rPr>
          <w:rFonts w:hint="eastAsia" w:ascii="楷体_GB2312" w:hAnsi="楷体_GB2312" w:eastAsia="楷体_GB2312" w:cs="楷体_GB2312"/>
          <w:b/>
          <w:bCs/>
          <w:color w:val="000000" w:themeColor="text1"/>
          <w:sz w:val="32"/>
          <w:szCs w:val="32"/>
          <w14:textFill>
            <w14:solidFill>
              <w14:schemeClr w14:val="tx1"/>
            </w14:solidFill>
          </w14:textFill>
        </w:rPr>
        <w:t>（三）扶持资金调整</w:t>
      </w:r>
    </w:p>
    <w:p w14:paraId="7E729E54">
      <w:pPr>
        <w:pStyle w:val="2"/>
        <w:keepNext w:val="0"/>
        <w:keepLines w:val="0"/>
        <w:pageBreakBefore w:val="0"/>
        <w:widowControl w:val="0"/>
        <w:kinsoku/>
        <w:wordWrap/>
        <w:overflowPunct/>
        <w:topLinePunct w:val="0"/>
        <w:autoSpaceDE/>
        <w:autoSpaceDN/>
        <w:bidi w:val="0"/>
        <w:adjustRightInd/>
        <w:snapToGrid/>
        <w:spacing w:line="579" w:lineRule="exact"/>
        <w:textAlignment w:val="auto"/>
        <w:rPr>
          <w:rFonts w:ascii="Times New Roman" w:hAnsi="Times New Roman" w:eastAsia="仿宋_GB2312"/>
          <w:sz w:val="32"/>
          <w:szCs w:val="32"/>
        </w:rPr>
      </w:pPr>
      <w:r>
        <w:rPr>
          <w:rFonts w:hint="eastAsia" w:ascii="Times New Roman" w:hAnsi="Times New Roman" w:eastAsia="仿宋_GB2312" w:cs="仿宋_GB2312"/>
          <w:sz w:val="32"/>
          <w:szCs w:val="32"/>
        </w:rPr>
        <w:t>金融发展局根据上述评分规则，分别对</w:t>
      </w:r>
      <w:bookmarkStart w:id="10" w:name="OLE_LINK36"/>
      <w:r>
        <w:rPr>
          <w:rFonts w:hint="eastAsia" w:ascii="Times New Roman" w:hAnsi="Times New Roman" w:eastAsia="仿宋_GB2312" w:cs="仿宋_GB2312"/>
          <w:sz w:val="32"/>
          <w:szCs w:val="32"/>
        </w:rPr>
        <w:t>公募基金管理公司、资产管理子公司按</w:t>
      </w:r>
      <w:bookmarkEnd w:id="10"/>
      <w:r>
        <w:rPr>
          <w:rFonts w:hint="eastAsia" w:ascii="Times New Roman" w:hAnsi="Times New Roman" w:eastAsia="仿宋_GB2312" w:cs="仿宋_GB2312"/>
          <w:sz w:val="32"/>
          <w:szCs w:val="32"/>
        </w:rPr>
        <w:t>年度进行评分并给予扶持。</w:t>
      </w:r>
      <w:r>
        <w:rPr>
          <w:rFonts w:hint="eastAsia" w:ascii="Times New Roman" w:hAnsi="Times New Roman" w:eastAsia="仿宋_GB2312"/>
          <w:sz w:val="32"/>
          <w:szCs w:val="32"/>
        </w:rPr>
        <w:t>扶持资金发放前，</w:t>
      </w:r>
      <w:r>
        <w:rPr>
          <w:rFonts w:hint="eastAsia" w:ascii="Times New Roman" w:hAnsi="Times New Roman" w:eastAsia="仿宋_GB2312" w:cs="仿宋_GB2312"/>
          <w:sz w:val="32"/>
          <w:szCs w:val="32"/>
        </w:rPr>
        <w:t>金融发展局</w:t>
      </w:r>
      <w:r>
        <w:rPr>
          <w:rFonts w:hint="eastAsia" w:ascii="Times New Roman" w:hAnsi="Times New Roman" w:eastAsia="仿宋_GB2312" w:cs="仿宋_GB2312"/>
          <w:sz w:val="32"/>
          <w:szCs w:val="32"/>
          <w:lang w:val="en-US" w:eastAsia="zh-CN"/>
        </w:rPr>
        <w:t>有权</w:t>
      </w:r>
      <w:r>
        <w:rPr>
          <w:rFonts w:hint="eastAsia" w:ascii="Times New Roman" w:hAnsi="Times New Roman" w:eastAsia="仿宋_GB2312"/>
          <w:color w:val="000000" w:themeColor="text1"/>
          <w:sz w:val="32"/>
          <w:szCs w:val="32"/>
          <w14:textFill>
            <w14:solidFill>
              <w14:schemeClr w14:val="tx1"/>
            </w14:solidFill>
          </w14:textFill>
        </w:rPr>
        <w:t>按以下标准对最终扶持金额进行调整：</w:t>
      </w:r>
    </w:p>
    <w:p w14:paraId="6C3DBC71">
      <w:pPr>
        <w:pStyle w:val="2"/>
        <w:keepNext w:val="0"/>
        <w:keepLines w:val="0"/>
        <w:pageBreakBefore w:val="0"/>
        <w:widowControl w:val="0"/>
        <w:kinsoku/>
        <w:wordWrap/>
        <w:overflowPunct/>
        <w:topLinePunct w:val="0"/>
        <w:autoSpaceDE/>
        <w:autoSpaceDN/>
        <w:bidi w:val="0"/>
        <w:adjustRightInd/>
        <w:snapToGrid/>
        <w:spacing w:line="579"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1.上述评分指标中，若有1项指标得0分的，则按照扶持金额的90%予以发放。</w:t>
      </w:r>
    </w:p>
    <w:p w14:paraId="1F9A7A63">
      <w:pPr>
        <w:pStyle w:val="2"/>
        <w:keepNext w:val="0"/>
        <w:keepLines w:val="0"/>
        <w:pageBreakBefore w:val="0"/>
        <w:widowControl w:val="0"/>
        <w:kinsoku/>
        <w:wordWrap/>
        <w:overflowPunct/>
        <w:topLinePunct w:val="0"/>
        <w:autoSpaceDE/>
        <w:autoSpaceDN/>
        <w:bidi w:val="0"/>
        <w:adjustRightInd/>
        <w:snapToGrid/>
        <w:spacing w:line="579"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2.上述评分指标中，若有2项指标得0分的，则按照扶持金额的80%予以发放。</w:t>
      </w:r>
    </w:p>
    <w:p w14:paraId="3915FAC6">
      <w:pPr>
        <w:pStyle w:val="2"/>
        <w:keepNext w:val="0"/>
        <w:keepLines w:val="0"/>
        <w:pageBreakBefore w:val="0"/>
        <w:widowControl w:val="0"/>
        <w:kinsoku/>
        <w:wordWrap/>
        <w:overflowPunct/>
        <w:topLinePunct w:val="0"/>
        <w:autoSpaceDE/>
        <w:autoSpaceDN/>
        <w:bidi w:val="0"/>
        <w:adjustRightInd/>
        <w:snapToGrid/>
        <w:spacing w:line="579" w:lineRule="exact"/>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楷体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若企业上一年度存在重大违法违规、舆情事件、涉众涉稳等相关情况，经</w:t>
      </w:r>
      <w:r>
        <w:rPr>
          <w:rFonts w:ascii="Times New Roman" w:hAnsi="Times New Roman" w:eastAsia="仿宋_GB2312"/>
          <w:color w:val="000000" w:themeColor="text1"/>
          <w:sz w:val="32"/>
          <w:szCs w:val="32"/>
          <w14:textFill>
            <w14:solidFill>
              <w14:schemeClr w14:val="tx1"/>
            </w14:solidFill>
          </w14:textFill>
        </w:rPr>
        <w:t>评估</w:t>
      </w:r>
      <w:r>
        <w:rPr>
          <w:rFonts w:hint="eastAsia" w:ascii="Times New Roman" w:hAnsi="Times New Roman" w:eastAsia="仿宋_GB2312"/>
          <w:color w:val="000000" w:themeColor="text1"/>
          <w:sz w:val="32"/>
          <w:szCs w:val="32"/>
          <w14:textFill>
            <w14:solidFill>
              <w14:schemeClr w14:val="tx1"/>
            </w14:solidFill>
          </w14:textFill>
        </w:rPr>
        <w:t>可扣除不超过</w:t>
      </w:r>
      <w:r>
        <w:rPr>
          <w:rFonts w:ascii="Times New Roman" w:hAnsi="Times New Roman" w:eastAsia="仿宋_GB2312"/>
          <w:color w:val="000000" w:themeColor="text1"/>
          <w:sz w:val="32"/>
          <w:szCs w:val="32"/>
          <w14:textFill>
            <w14:solidFill>
              <w14:schemeClr w14:val="tx1"/>
            </w14:solidFill>
          </w14:textFill>
        </w:rPr>
        <w:t>10%</w:t>
      </w:r>
      <w:r>
        <w:rPr>
          <w:rFonts w:hint="eastAsia" w:ascii="Times New Roman" w:hAnsi="Times New Roman" w:eastAsia="仿宋_GB2312"/>
          <w:color w:val="000000" w:themeColor="text1"/>
          <w:sz w:val="32"/>
          <w:szCs w:val="32"/>
          <w14:textFill>
            <w14:solidFill>
              <w14:schemeClr w14:val="tx1"/>
            </w14:solidFill>
          </w14:textFill>
        </w:rPr>
        <w:t>的扶持资金。情节严重的，取消当年扶持申请资格。</w:t>
      </w:r>
    </w:p>
    <w:p w14:paraId="17EA5B06">
      <w:pPr>
        <w:pStyle w:val="2"/>
        <w:keepNext w:val="0"/>
        <w:keepLines w:val="0"/>
        <w:pageBreakBefore w:val="0"/>
        <w:widowControl w:val="0"/>
        <w:numPr>
          <w:ilvl w:val="-1"/>
          <w:numId w:val="0"/>
        </w:numPr>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四、申报材料及相关要求</w:t>
      </w:r>
    </w:p>
    <w:p w14:paraId="5D9245A9">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default"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（一）“全口径资产管理规模</w:t>
      </w:r>
      <w:bookmarkStart w:id="11" w:name="OLE_LINK11"/>
      <w:r>
        <w:rPr>
          <w:rFonts w:hint="eastAsia" w:ascii="Times New Roman" w:hAnsi="Times New Roman" w:eastAsia="楷体" w:cs="楷体"/>
          <w:b/>
          <w:bCs/>
          <w:sz w:val="32"/>
          <w:szCs w:val="32"/>
          <w:lang w:val="en-US" w:eastAsia="zh-CN"/>
        </w:rPr>
        <w:t>”证明文件</w:t>
      </w:r>
      <w:bookmarkEnd w:id="11"/>
    </w:p>
    <w:p w14:paraId="11E87D29">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2025年末</w:t>
      </w:r>
      <w:bookmarkStart w:id="12" w:name="OLE_LINK13"/>
      <w:r>
        <w:rPr>
          <w:rFonts w:hint="eastAsia" w:ascii="Times New Roman" w:hAnsi="Times New Roman" w:eastAsia="仿宋_GB2312" w:cs="仿宋_GB2312"/>
          <w:sz w:val="32"/>
          <w:szCs w:val="32"/>
          <w:lang w:val="en-US" w:eastAsia="zh-CN"/>
        </w:rPr>
        <w:t>资产净值合计规模</w:t>
      </w:r>
      <w:bookmarkEnd w:id="12"/>
      <w:r>
        <w:rPr>
          <w:rFonts w:hint="eastAsia" w:ascii="Times New Roman" w:hAnsi="Times New Roman" w:eastAsia="仿宋_GB2312" w:cs="仿宋_GB2312"/>
          <w:sz w:val="32"/>
          <w:szCs w:val="32"/>
          <w:lang w:val="en-US" w:eastAsia="zh-CN"/>
        </w:rPr>
        <w:t>汇总表，需列明</w:t>
      </w:r>
      <w:bookmarkStart w:id="13" w:name="OLE_LINK12"/>
      <w:r>
        <w:rPr>
          <w:rFonts w:hint="eastAsia" w:ascii="Times New Roman" w:hAnsi="Times New Roman" w:eastAsia="仿宋_GB2312" w:cs="仿宋_GB2312"/>
          <w:sz w:val="32"/>
          <w:szCs w:val="32"/>
          <w:lang w:val="en-US" w:eastAsia="zh-CN"/>
        </w:rPr>
        <w:t>各管理规模的口径类型（如公募基金、专户等）对应的名称及具体金额</w:t>
      </w:r>
      <w:bookmarkEnd w:id="13"/>
      <w:r>
        <w:rPr>
          <w:rFonts w:hint="eastAsia" w:ascii="Times New Roman" w:hAnsi="Times New Roman" w:eastAsia="仿宋_GB2312" w:cs="仿宋_GB2312"/>
          <w:sz w:val="32"/>
          <w:szCs w:val="32"/>
          <w:lang w:val="en-US" w:eastAsia="zh-CN"/>
        </w:rPr>
        <w:t>。</w:t>
      </w:r>
    </w:p>
    <w:p w14:paraId="1CC35422">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（二）“跨境金融创新”证明文件</w:t>
      </w:r>
    </w:p>
    <w:p w14:paraId="01A48440">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bookmarkStart w:id="14" w:name="OLE_LINK14"/>
      <w:r>
        <w:rPr>
          <w:rFonts w:hint="eastAsia" w:ascii="Times New Roman" w:hAnsi="Times New Roman" w:eastAsia="仿宋_GB2312" w:cs="仿宋_GB2312"/>
          <w:sz w:val="32"/>
          <w:szCs w:val="32"/>
          <w:lang w:val="en-US" w:eastAsia="zh-CN"/>
        </w:rPr>
        <w:t>2025年度存续葡、西语国家相关的跨境金融产品合计规模</w:t>
      </w:r>
      <w:bookmarkEnd w:id="14"/>
      <w:r>
        <w:rPr>
          <w:rFonts w:hint="eastAsia" w:ascii="Times New Roman" w:hAnsi="Times New Roman" w:eastAsia="仿宋_GB2312" w:cs="仿宋_GB2312"/>
          <w:sz w:val="32"/>
          <w:szCs w:val="32"/>
          <w:lang w:val="en-US" w:eastAsia="zh-CN"/>
        </w:rPr>
        <w:t>汇总表。需逐项列明各产品名称、成立时间、年末规模、投向地区，确保产品与葡、西语国家具有明确的关联性。</w:t>
      </w:r>
    </w:p>
    <w:p w14:paraId="707CE68E">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（三）“日均办公人数”证明文件</w:t>
      </w:r>
    </w:p>
    <w:p w14:paraId="2071B1F4">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bookmarkStart w:id="15" w:name="OLE_LINK17"/>
      <w:r>
        <w:rPr>
          <w:rFonts w:hint="eastAsia" w:ascii="Times New Roman" w:hAnsi="Times New Roman" w:eastAsia="仿宋_GB2312" w:cs="仿宋_GB2312"/>
          <w:sz w:val="32"/>
          <w:szCs w:val="32"/>
          <w:lang w:val="en-US" w:eastAsia="zh-CN"/>
        </w:rPr>
        <w:t>2025年度日均办公人员记录</w:t>
      </w:r>
      <w:bookmarkEnd w:id="15"/>
      <w:r>
        <w:rPr>
          <w:rFonts w:hint="eastAsia" w:ascii="Times New Roman" w:hAnsi="Times New Roman" w:eastAsia="仿宋_GB2312" w:cs="仿宋_GB2312"/>
          <w:sz w:val="32"/>
          <w:szCs w:val="32"/>
          <w:lang w:val="en-US" w:eastAsia="zh-CN"/>
        </w:rPr>
        <w:t>汇总表，需包含全年每个交易日的在岗人员数量明细、整体情况说明，以及年度日均办公人数的计算说明（含交易日总数、在岗人数总和等关键数据）。</w:t>
      </w:r>
    </w:p>
    <w:p w14:paraId="164376E7">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2.计算口径：全年每日在岗人数总和÷全年工作日。基于资管行业特点，工作日按照上海/深圳证券交易所交易日计算，计算结果四舍五入保留整数。</w:t>
      </w:r>
    </w:p>
    <w:p w14:paraId="3FE28BB9">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（四）“办公面积”证明文件</w:t>
      </w:r>
    </w:p>
    <w:p w14:paraId="53751C6A">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bookmarkStart w:id="16" w:name="OLE_LINK18"/>
      <w:r>
        <w:rPr>
          <w:rFonts w:hint="eastAsia" w:ascii="Times New Roman" w:hAnsi="Times New Roman" w:eastAsia="仿宋_GB2312" w:cs="仿宋_GB2312"/>
          <w:sz w:val="32"/>
          <w:szCs w:val="32"/>
          <w:lang w:val="en-US" w:eastAsia="zh-CN"/>
        </w:rPr>
        <w:t>2025年度在合作区及澳门的办公场地</w:t>
      </w:r>
      <w:bookmarkEnd w:id="16"/>
      <w:r>
        <w:rPr>
          <w:rFonts w:hint="eastAsia" w:ascii="Times New Roman" w:hAnsi="Times New Roman" w:eastAsia="仿宋_GB2312" w:cs="仿宋_GB2312"/>
          <w:sz w:val="32"/>
          <w:szCs w:val="32"/>
          <w:lang w:val="en-US" w:eastAsia="zh-CN"/>
        </w:rPr>
        <w:t>证明文件（产权证明、房屋租赁协议或场地使用授权书，需加盖相关方有效印章）。</w:t>
      </w:r>
    </w:p>
    <w:p w14:paraId="7C295F2B">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（五）“举办金融行业相关交流活动次数”证明文件</w:t>
      </w:r>
    </w:p>
    <w:p w14:paraId="00CEAA96">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bookmarkStart w:id="17" w:name="OLE_LINK19"/>
      <w:r>
        <w:rPr>
          <w:rFonts w:hint="eastAsia" w:ascii="Times New Roman" w:hAnsi="Times New Roman" w:eastAsia="仿宋_GB2312" w:cs="仿宋_GB2312"/>
          <w:sz w:val="32"/>
          <w:szCs w:val="32"/>
          <w:lang w:val="en-US" w:eastAsia="zh-CN"/>
        </w:rPr>
        <w:t>2025年度在澳门及合作区等地主办或出资合作的金融行业相关交流活动</w:t>
      </w:r>
      <w:bookmarkEnd w:id="17"/>
      <w:r>
        <w:rPr>
          <w:rFonts w:hint="eastAsia" w:ascii="Times New Roman" w:hAnsi="Times New Roman" w:eastAsia="仿宋_GB2312" w:cs="仿宋_GB2312"/>
          <w:sz w:val="32"/>
          <w:szCs w:val="32"/>
          <w:lang w:val="en-US" w:eastAsia="zh-CN"/>
        </w:rPr>
        <w:t>汇总表及相关佐证资料。</w:t>
      </w:r>
    </w:p>
    <w:p w14:paraId="2AF0A8C1">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2.汇总表需逐项列明活动名称、举办时间、举办地点、申报单位角色（如“主办”或“出资合作”）、出资金额等信息。</w:t>
      </w:r>
    </w:p>
    <w:p w14:paraId="2CA7C6C4">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3.佐证资料按单场活动单独整理成册，每套需包含：活动议程、现场照片/视频、出资证明材料（如转账凭证、发票等）。</w:t>
      </w:r>
    </w:p>
    <w:p w14:paraId="7B277996">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（六）“</w:t>
      </w:r>
      <w:bookmarkStart w:id="18" w:name="OLE_LINK21"/>
      <w:r>
        <w:rPr>
          <w:rFonts w:hint="eastAsia" w:ascii="Times New Roman" w:hAnsi="Times New Roman" w:eastAsia="楷体" w:cs="楷体"/>
          <w:b/>
          <w:bCs/>
          <w:sz w:val="32"/>
          <w:szCs w:val="32"/>
          <w:lang w:val="en-US" w:eastAsia="zh-CN"/>
        </w:rPr>
        <w:t>澳门籍员工人数</w:t>
      </w:r>
      <w:bookmarkEnd w:id="18"/>
      <w:r>
        <w:rPr>
          <w:rFonts w:hint="eastAsia" w:ascii="Times New Roman" w:hAnsi="Times New Roman" w:eastAsia="楷体" w:cs="楷体"/>
          <w:b/>
          <w:bCs/>
          <w:sz w:val="32"/>
          <w:szCs w:val="32"/>
          <w:lang w:val="en-US" w:eastAsia="zh-CN"/>
        </w:rPr>
        <w:t>”证明文件</w:t>
      </w:r>
    </w:p>
    <w:p w14:paraId="007D03C6">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1.2025年末在职澳门籍正式员工清单，需列明姓名、身份证号、岗位、入离职时间，并附对应劳动合同复印件。</w:t>
      </w:r>
    </w:p>
    <w:p w14:paraId="75886ED1">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2.离职员工需在台账中明确标注，且不计入年末在职人数统计。</w:t>
      </w:r>
    </w:p>
    <w:p w14:paraId="4B514ECE">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（七）“</w:t>
      </w:r>
      <w:bookmarkStart w:id="19" w:name="OLE_LINK23"/>
      <w:r>
        <w:rPr>
          <w:rFonts w:hint="eastAsia" w:ascii="Times New Roman" w:hAnsi="Times New Roman" w:eastAsia="楷体" w:cs="楷体"/>
          <w:b/>
          <w:bCs/>
          <w:sz w:val="32"/>
          <w:szCs w:val="32"/>
          <w:lang w:val="en-US" w:eastAsia="zh-CN"/>
        </w:rPr>
        <w:t>澳门籍员工与社保人数占比</w:t>
      </w:r>
      <w:bookmarkEnd w:id="19"/>
      <w:r>
        <w:rPr>
          <w:rFonts w:hint="eastAsia" w:ascii="Times New Roman" w:hAnsi="Times New Roman" w:eastAsia="楷体" w:cs="楷体"/>
          <w:b/>
          <w:bCs/>
          <w:sz w:val="32"/>
          <w:szCs w:val="32"/>
          <w:lang w:val="en-US" w:eastAsia="zh-CN"/>
        </w:rPr>
        <w:t>”证明文件</w:t>
      </w:r>
    </w:p>
    <w:p w14:paraId="441BA650">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1.由社保部门出具的2025年度员工在合作区社保缴费证明。</w:t>
      </w:r>
    </w:p>
    <w:p w14:paraId="7AD3524C">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2.计算口径：澳门籍员工与社保人数占比=年末在职澳门籍正式员工人数÷年末在合作区缴纳社保的员工总人数×100%，保留2位小数。</w:t>
      </w:r>
    </w:p>
    <w:p w14:paraId="423EAC39">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（八）《执行商定程序的报告》</w:t>
      </w:r>
    </w:p>
    <w:p w14:paraId="2C97A0D6">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需由具备相应资质的第三方会计师事务所出具，报告需满足以下要求：</w:t>
      </w:r>
    </w:p>
    <w:p w14:paraId="7768257D">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1.报告对象明确。</w:t>
      </w:r>
      <w:r>
        <w:rPr>
          <w:rFonts w:hint="eastAsia" w:ascii="Times New Roman" w:hAnsi="Times New Roman" w:eastAsia="仿宋_GB2312" w:cs="仿宋_GB2312"/>
          <w:b w:val="0"/>
          <w:bCs w:val="0"/>
          <w:sz w:val="32"/>
          <w:szCs w:val="32"/>
          <w:lang w:val="en-US" w:eastAsia="zh-CN"/>
        </w:rPr>
        <w:t>逐一列明上述第（一）至（七）项指标对应的申报数据、佐证材料清单，明确每项指标的核查范围（如时间范围、数据覆盖范围等）。</w:t>
      </w:r>
    </w:p>
    <w:p w14:paraId="50ECEFB3">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bCs/>
          <w:sz w:val="32"/>
          <w:szCs w:val="32"/>
          <w:lang w:val="en-US" w:eastAsia="zh-CN"/>
        </w:rPr>
        <w:t>2.报告程序详细。</w:t>
      </w:r>
      <w:r>
        <w:rPr>
          <w:rFonts w:hint="eastAsia" w:ascii="Times New Roman" w:hAnsi="Times New Roman" w:eastAsia="仿宋_GB2312" w:cs="仿宋_GB2312"/>
          <w:sz w:val="32"/>
          <w:szCs w:val="32"/>
          <w:lang w:val="en-US" w:eastAsia="zh-CN"/>
        </w:rPr>
        <w:t>针对每项指标列出具体核查步骤（如查阅台账、核对原始凭证等），需明确核查覆盖范围。</w:t>
      </w:r>
    </w:p>
    <w:p w14:paraId="16754125">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default"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3.执行结果细化披露。</w:t>
      </w:r>
    </w:p>
    <w:p w14:paraId="05AA6033">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第（一）项：披露2025年度末全口径资产净值及合计规模。</w:t>
      </w:r>
      <w:bookmarkStart w:id="20" w:name="OLE_LINK15"/>
      <w:r>
        <w:rPr>
          <w:rFonts w:hint="eastAsia" w:ascii="Times New Roman" w:hAnsi="Times New Roman" w:eastAsia="仿宋_GB2312" w:cs="仿宋_GB2312"/>
          <w:sz w:val="32"/>
          <w:szCs w:val="32"/>
          <w:highlight w:val="none"/>
        </w:rPr>
        <w:t>说明各类资产管理产品规模的第三方复核要求</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并将</w:t>
      </w:r>
      <w:r>
        <w:rPr>
          <w:rFonts w:hint="eastAsia" w:ascii="Times New Roman" w:hAnsi="Times New Roman" w:eastAsia="仿宋_GB2312" w:cs="仿宋_GB2312"/>
          <w:sz w:val="32"/>
          <w:szCs w:val="32"/>
        </w:rPr>
        <w:t>第三方复核的各资产管理产品的规模与公司披露的各管理规模类型的具体金额合计规模进行核对</w:t>
      </w:r>
      <w:r>
        <w:rPr>
          <w:rFonts w:hint="eastAsia" w:ascii="Times New Roman" w:hAnsi="Times New Roman" w:eastAsia="仿宋_GB2312" w:cs="仿宋_GB2312"/>
          <w:sz w:val="32"/>
          <w:szCs w:val="32"/>
          <w:lang w:val="en-US" w:eastAsia="zh-CN"/>
        </w:rPr>
        <w:t>，出具核查结论；</w:t>
      </w:r>
    </w:p>
    <w:bookmarkEnd w:id="20"/>
    <w:p w14:paraId="4E3E5EB9">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第（二）项：披露2025年度存续葡、西语国家相关的跨境金融产品成立时间、合计规模</w:t>
      </w:r>
      <w:bookmarkStart w:id="21" w:name="OLE_LINK16"/>
      <w:bookmarkStart w:id="22" w:name="OLE_LINK20"/>
      <w:r>
        <w:rPr>
          <w:rFonts w:hint="eastAsia" w:ascii="Times New Roman" w:hAnsi="Times New Roman" w:eastAsia="仿宋_GB2312" w:cs="仿宋_GB2312"/>
          <w:sz w:val="32"/>
          <w:szCs w:val="32"/>
          <w:lang w:val="en-US" w:eastAsia="zh-CN"/>
        </w:rPr>
        <w:t>。核实产品与</w:t>
      </w:r>
      <w:r>
        <w:rPr>
          <w:rFonts w:hint="eastAsia" w:ascii="Times New Roman" w:hAnsi="Times New Roman" w:eastAsia="仿宋_GB2312" w:cs="仿宋_GB2312"/>
          <w:sz w:val="32"/>
          <w:szCs w:val="32"/>
        </w:rPr>
        <w:t>葡、西语国家</w:t>
      </w:r>
      <w:r>
        <w:rPr>
          <w:rFonts w:hint="eastAsia" w:ascii="Times New Roman" w:hAnsi="Times New Roman" w:eastAsia="仿宋_GB2312" w:cs="仿宋_GB2312"/>
          <w:sz w:val="32"/>
          <w:szCs w:val="32"/>
          <w:lang w:val="en-US" w:eastAsia="zh-CN"/>
        </w:rPr>
        <w:t>的跨境关联性，出具核查结论；</w:t>
      </w:r>
      <w:bookmarkEnd w:id="21"/>
    </w:p>
    <w:bookmarkEnd w:id="22"/>
    <w:p w14:paraId="04DAF186">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第（三）项：披露2025年度日均办公人员数量。</w:t>
      </w:r>
      <w:r>
        <w:rPr>
          <w:rFonts w:hint="eastAsia" w:ascii="Times New Roman" w:hAnsi="Times New Roman" w:eastAsia="仿宋_GB2312" w:cs="仿宋_GB2312"/>
          <w:sz w:val="32"/>
          <w:szCs w:val="32"/>
        </w:rPr>
        <w:t>获取公司系统记录的考勤记录，测算日均办公人数并披露测算过程</w:t>
      </w:r>
      <w:r>
        <w:rPr>
          <w:rFonts w:hint="eastAsia" w:ascii="Times New Roman" w:hAnsi="Times New Roman" w:eastAsia="仿宋_GB2312" w:cs="仿宋_GB2312"/>
          <w:sz w:val="32"/>
          <w:szCs w:val="32"/>
          <w:lang w:val="en-US" w:eastAsia="zh-CN"/>
        </w:rPr>
        <w:t>，出具核查结论；</w:t>
      </w:r>
    </w:p>
    <w:p w14:paraId="1FA84C62">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第（四）项：披露2025年度在合作区及澳门办公场地的</w:t>
      </w:r>
      <w:r>
        <w:rPr>
          <w:rFonts w:hint="eastAsia" w:ascii="Times New Roman" w:hAnsi="Times New Roman" w:eastAsia="仿宋_GB2312" w:cs="仿宋_GB2312"/>
          <w:sz w:val="32"/>
          <w:szCs w:val="32"/>
        </w:rPr>
        <w:t>地址、</w:t>
      </w:r>
      <w:r>
        <w:rPr>
          <w:rFonts w:hint="eastAsia" w:ascii="Times New Roman" w:hAnsi="Times New Roman" w:eastAsia="仿宋_GB2312" w:cs="仿宋_GB2312"/>
          <w:sz w:val="32"/>
          <w:szCs w:val="32"/>
          <w:lang w:val="en-US" w:eastAsia="zh-CN"/>
        </w:rPr>
        <w:t>具体面积。说明</w:t>
      </w:r>
      <w:r>
        <w:rPr>
          <w:rFonts w:hint="eastAsia" w:ascii="Times New Roman" w:hAnsi="Times New Roman" w:eastAsia="仿宋_GB2312" w:cs="仿宋_GB2312"/>
          <w:sz w:val="32"/>
          <w:szCs w:val="32"/>
        </w:rPr>
        <w:t>租赁期限、租金支付</w:t>
      </w:r>
      <w:r>
        <w:rPr>
          <w:rFonts w:hint="eastAsia" w:ascii="Times New Roman" w:hAnsi="Times New Roman" w:eastAsia="仿宋_GB2312" w:cs="仿宋_GB2312"/>
          <w:sz w:val="32"/>
          <w:szCs w:val="32"/>
          <w:lang w:val="en-US" w:eastAsia="zh-CN"/>
        </w:rPr>
        <w:t>等租赁协议履行情况，出具核查结论；</w:t>
      </w:r>
    </w:p>
    <w:p w14:paraId="6E1E1E30">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第（五）项：披露2025年度在澳门及合作区等地主办或出资合作的金融行业相关交流活动次数。逐场活动披露活动名称、举办时间、举办地点、申报单位角色（如区分“主办”“出资合作”）、具体出资金额</w:t>
      </w:r>
      <w:r>
        <w:rPr>
          <w:rFonts w:hint="eastAsia" w:ascii="Times New Roman" w:hAnsi="Times New Roman" w:eastAsia="仿宋_GB2312" w:cs="仿宋_GB2312"/>
          <w:sz w:val="32"/>
          <w:szCs w:val="32"/>
        </w:rPr>
        <w:t>、参会人数，并将出资金额核对至</w:t>
      </w:r>
      <w:r>
        <w:rPr>
          <w:rFonts w:hint="eastAsia" w:ascii="Times New Roman" w:hAnsi="Times New Roman" w:eastAsia="仿宋_GB2312" w:cs="仿宋_GB2312"/>
          <w:sz w:val="32"/>
          <w:szCs w:val="32"/>
          <w:highlight w:val="none"/>
        </w:rPr>
        <w:t>出资凭证</w:t>
      </w:r>
      <w:r>
        <w:rPr>
          <w:rFonts w:hint="eastAsia" w:ascii="Times New Roman" w:hAnsi="Times New Roman" w:eastAsia="仿宋_GB2312" w:cs="仿宋_GB2312"/>
          <w:sz w:val="32"/>
          <w:szCs w:val="32"/>
        </w:rPr>
        <w:t>等支持性材料</w:t>
      </w:r>
      <w:r>
        <w:rPr>
          <w:rFonts w:hint="eastAsia" w:ascii="Times New Roman" w:hAnsi="Times New Roman" w:eastAsia="仿宋_GB2312" w:cs="仿宋_GB2312"/>
          <w:sz w:val="32"/>
          <w:szCs w:val="32"/>
          <w:highlight w:val="none"/>
        </w:rPr>
        <w:t>、将参会人数核对至活动签到记录</w:t>
      </w:r>
      <w:r>
        <w:rPr>
          <w:rFonts w:hint="eastAsia" w:ascii="Times New Roman" w:hAnsi="Times New Roman" w:eastAsia="仿宋_GB2312" w:cs="仿宋_GB2312"/>
          <w:sz w:val="32"/>
          <w:szCs w:val="32"/>
        </w:rPr>
        <w:t>等支持性材料</w:t>
      </w:r>
      <w:r>
        <w:rPr>
          <w:rFonts w:hint="eastAsia" w:ascii="Times New Roman" w:hAnsi="Times New Roman" w:eastAsia="仿宋_GB2312" w:cs="仿宋_GB2312"/>
          <w:sz w:val="32"/>
          <w:szCs w:val="32"/>
          <w:lang w:val="en-US" w:eastAsia="zh-CN"/>
        </w:rPr>
        <w:t>，</w:t>
      </w:r>
      <w:bookmarkStart w:id="23" w:name="OLE_LINK22"/>
      <w:r>
        <w:rPr>
          <w:rFonts w:hint="eastAsia" w:ascii="Times New Roman" w:hAnsi="Times New Roman" w:eastAsia="仿宋_GB2312" w:cs="仿宋_GB2312"/>
          <w:sz w:val="32"/>
          <w:szCs w:val="32"/>
          <w:lang w:val="en-US" w:eastAsia="zh-CN"/>
        </w:rPr>
        <w:t>出具核查结论；</w:t>
      </w:r>
      <w:bookmarkEnd w:id="23"/>
    </w:p>
    <w:p w14:paraId="251D3A03">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第（六）项：披露2025年度末澳门籍在职员工人数。</w:t>
      </w:r>
      <w:r>
        <w:rPr>
          <w:rFonts w:hint="eastAsia" w:ascii="Times New Roman" w:hAnsi="Times New Roman" w:eastAsia="仿宋_GB2312" w:cs="仿宋_GB2312"/>
          <w:sz w:val="32"/>
          <w:szCs w:val="32"/>
        </w:rPr>
        <w:t>核对在职人员清单与劳动合同的一致性，通过身份证件复印件核对澳门籍员工身份并披露澳门籍正式员工数量</w:t>
      </w:r>
      <w:r>
        <w:rPr>
          <w:rFonts w:hint="eastAsia" w:ascii="Times New Roman" w:hAnsi="Times New Roman" w:eastAsia="仿宋_GB2312" w:cs="仿宋_GB2312"/>
          <w:sz w:val="32"/>
          <w:szCs w:val="32"/>
          <w:lang w:val="en-US" w:eastAsia="zh-CN"/>
        </w:rPr>
        <w:t>，出具核查结论；</w:t>
      </w:r>
    </w:p>
    <w:p w14:paraId="5617AD12">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第（七）项：披露2025年度澳门籍员工与社保人数占比及完整计算过程，</w:t>
      </w:r>
      <w:r>
        <w:rPr>
          <w:rFonts w:hint="eastAsia" w:ascii="Times New Roman" w:hAnsi="Times New Roman" w:eastAsia="仿宋_GB2312" w:cs="仿宋_GB2312"/>
          <w:sz w:val="32"/>
          <w:szCs w:val="32"/>
        </w:rPr>
        <w:t>核对公司社保缴费人员花名册与在职员工的一致性，</w:t>
      </w:r>
      <w:r>
        <w:rPr>
          <w:rFonts w:hint="eastAsia" w:ascii="Times New Roman" w:hAnsi="Times New Roman" w:eastAsia="仿宋_GB2312" w:cs="仿宋_GB2312"/>
          <w:sz w:val="32"/>
          <w:szCs w:val="32"/>
          <w:lang w:val="en-US" w:eastAsia="zh-CN"/>
        </w:rPr>
        <w:t>出具核查结论；</w:t>
      </w:r>
    </w:p>
    <w:p w14:paraId="7F26A5B5">
      <w:pPr>
        <w:pStyle w:val="2"/>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bCs/>
          <w:sz w:val="32"/>
          <w:szCs w:val="32"/>
          <w:lang w:val="en-US" w:eastAsia="zh-CN"/>
        </w:rPr>
        <w:t>4.报告形式合规。</w:t>
      </w:r>
      <w:r>
        <w:rPr>
          <w:rFonts w:hint="eastAsia" w:ascii="Times New Roman" w:hAnsi="Times New Roman" w:eastAsia="仿宋_GB2312" w:cs="仿宋_GB2312"/>
          <w:b w:val="0"/>
          <w:bCs w:val="0"/>
          <w:sz w:val="32"/>
          <w:szCs w:val="32"/>
          <w:lang w:val="en-US" w:eastAsia="zh-CN"/>
        </w:rPr>
        <w:t>报告需</w:t>
      </w:r>
      <w:r>
        <w:rPr>
          <w:rFonts w:hint="eastAsia" w:ascii="Times New Roman" w:hAnsi="Times New Roman" w:eastAsia="仿宋_GB2312" w:cs="仿宋_GB2312"/>
          <w:sz w:val="32"/>
          <w:szCs w:val="32"/>
          <w:lang w:val="en-US" w:eastAsia="zh-CN"/>
        </w:rPr>
        <w:t>加盖会计师事务所公章、由2名及以上注册会计师签字并注明执业证书编号，附事务所营业执照、执业资格证书复印件（需加盖事务所公章），报告落款日期需在2025年度结束后且符合申报时限要求）。</w:t>
      </w:r>
    </w:p>
    <w:p w14:paraId="271B3A57">
      <w:pPr>
        <w:keepNext w:val="0"/>
        <w:keepLines w:val="0"/>
        <w:pageBreakBefore w:val="0"/>
        <w:widowControl w:val="0"/>
        <w:kinsoku/>
        <w:wordWrap/>
        <w:overflowPunct/>
        <w:topLinePunct w:val="0"/>
        <w:autoSpaceDE/>
        <w:autoSpaceDN/>
        <w:bidi w:val="0"/>
        <w:adjustRightInd/>
        <w:snapToGrid/>
        <w:spacing w:line="579" w:lineRule="exact"/>
        <w:textAlignment w:val="auto"/>
        <w:rPr>
          <w:rFonts w:ascii="Times New Roman" w:hAnsi="Times New Roman" w:cs="Times New Roman"/>
          <w:color w:val="000000" w:themeColor="text1"/>
          <w14:textFill>
            <w14:solidFill>
              <w14:schemeClr w14:val="tx1"/>
            </w14:solidFill>
          </w14:textFill>
        </w:rPr>
      </w:pPr>
    </w:p>
    <w:sectPr>
      <w:footerReference r:id="rId4" w:type="default"/>
      <w:pgSz w:w="11906" w:h="16838"/>
      <w:pgMar w:top="2098" w:right="1474" w:bottom="1984" w:left="1587" w:header="851" w:footer="158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2AC3E">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95370">
                          <w:pPr>
                            <w:pStyle w:val="8"/>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695370">
                    <w:pPr>
                      <w:pStyle w:val="8"/>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764840D8">
      <w:pPr>
        <w:pStyle w:val="10"/>
        <w:jc w:val="both"/>
        <w:rPr>
          <w:rFonts w:ascii="Times New Roman" w:hAnsi="Times New Roman" w:eastAsia="仿宋_GB2312" w:cs="Times New Roman"/>
          <w:sz w:val="22"/>
          <w:szCs w:val="32"/>
        </w:rPr>
      </w:pPr>
      <w:r>
        <w:rPr>
          <w:rStyle w:val="19"/>
          <w:rFonts w:ascii="Times New Roman" w:hAnsi="Times New Roman" w:eastAsia="仿宋_GB2312" w:cs="Times New Roman"/>
          <w:sz w:val="22"/>
          <w:szCs w:val="32"/>
        </w:rPr>
        <w:footnoteRef/>
      </w:r>
      <w:r>
        <w:rPr>
          <w:rFonts w:ascii="Times New Roman" w:hAnsi="Times New Roman" w:eastAsia="仿宋_GB2312" w:cs="Times New Roman"/>
          <w:sz w:val="22"/>
          <w:szCs w:val="32"/>
        </w:rPr>
        <w:t xml:space="preserve"> 包括与企业建立劳动关系的正式员工</w:t>
      </w:r>
      <w:r>
        <w:rPr>
          <w:rFonts w:hint="eastAsia" w:ascii="Times New Roman" w:hAnsi="Times New Roman" w:eastAsia="仿宋_GB2312" w:cs="Times New Roman"/>
          <w:sz w:val="22"/>
          <w:szCs w:val="32"/>
        </w:rPr>
        <w:t>、</w:t>
      </w:r>
      <w:r>
        <w:rPr>
          <w:rFonts w:ascii="Times New Roman" w:hAnsi="Times New Roman" w:eastAsia="仿宋_GB2312" w:cs="Times New Roman"/>
          <w:sz w:val="22"/>
          <w:szCs w:val="32"/>
        </w:rPr>
        <w:t>企业接受的劳务派遣用工人员</w:t>
      </w:r>
      <w:r>
        <w:rPr>
          <w:rFonts w:hint="eastAsia" w:ascii="Times New Roman" w:hAnsi="Times New Roman" w:eastAsia="仿宋_GB2312" w:cs="Times New Roman"/>
          <w:sz w:val="22"/>
          <w:szCs w:val="32"/>
        </w:rPr>
        <w:t>，以及为企业服务的外包员工</w:t>
      </w:r>
      <w:r>
        <w:rPr>
          <w:rFonts w:ascii="Times New Roman" w:hAnsi="Times New Roman" w:eastAsia="仿宋_GB2312" w:cs="Times New Roman"/>
          <w:sz w:val="22"/>
          <w:szCs w:val="32"/>
        </w:rPr>
        <w:t>。</w:t>
      </w:r>
    </w:p>
  </w:footnote>
  <w:footnote w:id="1">
    <w:p w14:paraId="64599CF0">
      <w:pPr>
        <w:pStyle w:val="10"/>
        <w:jc w:val="both"/>
        <w:rPr>
          <w:rFonts w:hint="default" w:ascii="Times New Roman" w:hAnsi="Times New Roman" w:eastAsia="仿宋_GB2312" w:cs="Times New Roman"/>
          <w:sz w:val="22"/>
          <w:szCs w:val="32"/>
          <w:lang w:val="en-US" w:eastAsia="zh-CN"/>
        </w:rPr>
      </w:pPr>
      <w:r>
        <w:rPr>
          <w:rStyle w:val="19"/>
          <w:rFonts w:ascii="Times New Roman" w:hAnsi="Times New Roman" w:eastAsia="仿宋_GB2312" w:cs="Times New Roman"/>
          <w:sz w:val="22"/>
          <w:szCs w:val="32"/>
        </w:rPr>
        <w:footnoteRef/>
      </w:r>
      <w:r>
        <w:rPr>
          <w:rFonts w:ascii="Times New Roman" w:hAnsi="Times New Roman" w:eastAsia="仿宋_GB2312" w:cs="Times New Roman"/>
          <w:sz w:val="22"/>
          <w:szCs w:val="32"/>
        </w:rPr>
        <w:t xml:space="preserve"> 包括但不限于研讨会、论坛、企业年会等，每场活动参会人数不少于50人。如活动已依据本政策或其他同类扶持政策申请专项扶持并获批，或由具备行政管理和公共服务职能的法定机构、机关法人、财政拨款事业单位出资委托举办，则该类活动不纳入对应评分因素的得分统计。</w:t>
      </w:r>
      <w:r>
        <w:rPr>
          <w:rFonts w:ascii="Times New Roman" w:hAnsi="Times New Roman" w:eastAsia="仿宋_GB2312" w:cs="Times New Roman"/>
          <w:color w:val="000000"/>
          <w:kern w:val="0"/>
          <w:sz w:val="22"/>
          <w:szCs w:val="22"/>
          <w:lang w:bidi="ar"/>
        </w:rPr>
        <w:t>主办</w:t>
      </w:r>
      <w:r>
        <w:rPr>
          <w:rFonts w:hint="eastAsia" w:ascii="Times New Roman" w:hAnsi="Times New Roman" w:eastAsia="仿宋_GB2312" w:cs="Times New Roman"/>
          <w:color w:val="000000"/>
          <w:kern w:val="0"/>
          <w:sz w:val="22"/>
          <w:szCs w:val="22"/>
          <w:lang w:val="en-US" w:eastAsia="zh-CN" w:bidi="ar"/>
        </w:rPr>
        <w:t>活动以活动次数为核算依据，出资合作活动以出资规模为核算依据。</w:t>
      </w:r>
    </w:p>
  </w:footnote>
  <w:footnote w:id="2">
    <w:p w14:paraId="6AAE444F">
      <w:pPr>
        <w:pStyle w:val="10"/>
        <w:jc w:val="both"/>
        <w:rPr>
          <w:rFonts w:ascii="Times New Roman" w:hAnsi="Times New Roman" w:eastAsia="仿宋_GB2312" w:cs="Times New Roman"/>
          <w:sz w:val="22"/>
          <w:szCs w:val="32"/>
        </w:rPr>
      </w:pPr>
      <w:r>
        <w:rPr>
          <w:rStyle w:val="19"/>
          <w:rFonts w:ascii="Times New Roman" w:hAnsi="Times New Roman" w:eastAsia="仿宋_GB2312" w:cs="Times New Roman"/>
          <w:sz w:val="22"/>
          <w:szCs w:val="32"/>
        </w:rPr>
        <w:footnoteRef/>
      </w:r>
      <w:r>
        <w:rPr>
          <w:rFonts w:ascii="Times New Roman" w:hAnsi="Times New Roman" w:eastAsia="仿宋_GB2312" w:cs="Times New Roman"/>
          <w:sz w:val="22"/>
          <w:szCs w:val="32"/>
        </w:rPr>
        <w:t xml:space="preserve"> 包括与企业建立劳动关系的正式员工</w:t>
      </w:r>
      <w:r>
        <w:rPr>
          <w:rFonts w:hint="eastAsia" w:ascii="Times New Roman" w:hAnsi="Times New Roman" w:eastAsia="仿宋_GB2312" w:cs="Times New Roman"/>
          <w:sz w:val="22"/>
          <w:szCs w:val="32"/>
        </w:rPr>
        <w:t>、</w:t>
      </w:r>
      <w:r>
        <w:rPr>
          <w:rFonts w:ascii="Times New Roman" w:hAnsi="Times New Roman" w:eastAsia="仿宋_GB2312" w:cs="Times New Roman"/>
          <w:sz w:val="22"/>
          <w:szCs w:val="32"/>
        </w:rPr>
        <w:t>企业接受的劳务派遣用工人员</w:t>
      </w:r>
      <w:r>
        <w:rPr>
          <w:rFonts w:hint="eastAsia" w:ascii="Times New Roman" w:hAnsi="Times New Roman" w:eastAsia="仿宋_GB2312" w:cs="Times New Roman"/>
          <w:sz w:val="22"/>
          <w:szCs w:val="32"/>
        </w:rPr>
        <w:t>，以及为企业服务的外包员工</w:t>
      </w:r>
      <w:r>
        <w:rPr>
          <w:rFonts w:ascii="Times New Roman" w:hAnsi="Times New Roman" w:eastAsia="仿宋_GB2312" w:cs="Times New Roman"/>
          <w:sz w:val="22"/>
          <w:szCs w:val="32"/>
        </w:rPr>
        <w:t>。</w:t>
      </w:r>
    </w:p>
  </w:footnote>
  <w:footnote w:id="3">
    <w:p w14:paraId="436878FF">
      <w:pPr>
        <w:pStyle w:val="10"/>
        <w:jc w:val="both"/>
        <w:rPr>
          <w:rFonts w:ascii="Times New Roman" w:hAnsi="Times New Roman" w:eastAsia="仿宋_GB2312" w:cs="Times New Roman"/>
          <w:sz w:val="22"/>
          <w:szCs w:val="32"/>
        </w:rPr>
      </w:pPr>
      <w:r>
        <w:rPr>
          <w:rStyle w:val="19"/>
          <w:rFonts w:ascii="Times New Roman" w:hAnsi="Times New Roman" w:eastAsia="仿宋_GB2312" w:cs="Times New Roman"/>
          <w:sz w:val="22"/>
          <w:szCs w:val="32"/>
        </w:rPr>
        <w:footnoteRef/>
      </w:r>
      <w:r>
        <w:rPr>
          <w:rFonts w:ascii="Times New Roman" w:hAnsi="Times New Roman" w:eastAsia="仿宋_GB2312" w:cs="Times New Roman"/>
          <w:sz w:val="22"/>
          <w:szCs w:val="32"/>
        </w:rPr>
        <w:t xml:space="preserve"> 包括但不限于研讨会、论坛、企业年会等，每场活动参会人数不少于50人。如活动已依据本政策或其他同类扶持政策申请专项扶持并获批，或由具备行政管理和公共服务职能的法定机构、机关法人、财政拨款事业单位出资委托举办，则该类活动不纳入对应评分因素的得分统计。</w:t>
      </w:r>
      <w:r>
        <w:rPr>
          <w:rFonts w:hint="eastAsia" w:ascii="Times New Roman" w:hAnsi="Times New Roman" w:eastAsia="仿宋_GB2312" w:cs="Times New Roman"/>
          <w:sz w:val="22"/>
          <w:szCs w:val="32"/>
        </w:rPr>
        <w:t>主办活动以活动次数为核算依据，出资合作活动以出资规模为核算依据。</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5FBAD8"/>
    <w:multiLevelType w:val="singleLevel"/>
    <w:tmpl w:val="235FBAD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8"/>
    <w:footnote w:id="9"/>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DD"/>
    <w:rsid w:val="00005402"/>
    <w:rsid w:val="000306CE"/>
    <w:rsid w:val="00051931"/>
    <w:rsid w:val="00060E0E"/>
    <w:rsid w:val="00103897"/>
    <w:rsid w:val="00104CDD"/>
    <w:rsid w:val="00176248"/>
    <w:rsid w:val="001766ED"/>
    <w:rsid w:val="001A45A1"/>
    <w:rsid w:val="001C32B5"/>
    <w:rsid w:val="001F7CCF"/>
    <w:rsid w:val="00215AA4"/>
    <w:rsid w:val="00226290"/>
    <w:rsid w:val="0024635B"/>
    <w:rsid w:val="0025427F"/>
    <w:rsid w:val="002B3D6C"/>
    <w:rsid w:val="00425F94"/>
    <w:rsid w:val="00490B57"/>
    <w:rsid w:val="004F0265"/>
    <w:rsid w:val="00522102"/>
    <w:rsid w:val="00526C04"/>
    <w:rsid w:val="00531A13"/>
    <w:rsid w:val="00570836"/>
    <w:rsid w:val="005A53F4"/>
    <w:rsid w:val="005B6F16"/>
    <w:rsid w:val="00675481"/>
    <w:rsid w:val="00772860"/>
    <w:rsid w:val="007B0F48"/>
    <w:rsid w:val="00807E34"/>
    <w:rsid w:val="0084065B"/>
    <w:rsid w:val="00886ED9"/>
    <w:rsid w:val="00887DE3"/>
    <w:rsid w:val="008938C2"/>
    <w:rsid w:val="008962D8"/>
    <w:rsid w:val="00896BF0"/>
    <w:rsid w:val="008B23AB"/>
    <w:rsid w:val="00902999"/>
    <w:rsid w:val="00911A08"/>
    <w:rsid w:val="009277D5"/>
    <w:rsid w:val="00992C14"/>
    <w:rsid w:val="009B2582"/>
    <w:rsid w:val="009C63D2"/>
    <w:rsid w:val="009C6A0F"/>
    <w:rsid w:val="00A26C8E"/>
    <w:rsid w:val="00A706B5"/>
    <w:rsid w:val="00AE354F"/>
    <w:rsid w:val="00B03A6B"/>
    <w:rsid w:val="00B3480E"/>
    <w:rsid w:val="00B53BA0"/>
    <w:rsid w:val="00BC757B"/>
    <w:rsid w:val="00BE462D"/>
    <w:rsid w:val="00C17D4C"/>
    <w:rsid w:val="00C51A0D"/>
    <w:rsid w:val="00CA444F"/>
    <w:rsid w:val="00CA4716"/>
    <w:rsid w:val="00CB6F57"/>
    <w:rsid w:val="00D074CA"/>
    <w:rsid w:val="00D87253"/>
    <w:rsid w:val="00E4136F"/>
    <w:rsid w:val="00F12FCE"/>
    <w:rsid w:val="00FA1562"/>
    <w:rsid w:val="0116312F"/>
    <w:rsid w:val="011C626C"/>
    <w:rsid w:val="012B1219"/>
    <w:rsid w:val="012F2C2E"/>
    <w:rsid w:val="013F5C19"/>
    <w:rsid w:val="01423F24"/>
    <w:rsid w:val="01494ECB"/>
    <w:rsid w:val="0171705D"/>
    <w:rsid w:val="01785B98"/>
    <w:rsid w:val="01795E81"/>
    <w:rsid w:val="01802C9E"/>
    <w:rsid w:val="018856AF"/>
    <w:rsid w:val="01A544B3"/>
    <w:rsid w:val="01BD35AB"/>
    <w:rsid w:val="01C25065"/>
    <w:rsid w:val="01CB72E4"/>
    <w:rsid w:val="01D375C8"/>
    <w:rsid w:val="01E274F9"/>
    <w:rsid w:val="020967F0"/>
    <w:rsid w:val="02383CE7"/>
    <w:rsid w:val="024C2B81"/>
    <w:rsid w:val="024C7C25"/>
    <w:rsid w:val="025E6357"/>
    <w:rsid w:val="027619AC"/>
    <w:rsid w:val="02863471"/>
    <w:rsid w:val="02922C89"/>
    <w:rsid w:val="02924A37"/>
    <w:rsid w:val="02930BE4"/>
    <w:rsid w:val="02A227A1"/>
    <w:rsid w:val="02BC4617"/>
    <w:rsid w:val="02C941D1"/>
    <w:rsid w:val="02D45BAB"/>
    <w:rsid w:val="02E35293"/>
    <w:rsid w:val="02E66B31"/>
    <w:rsid w:val="02EE7B6C"/>
    <w:rsid w:val="02FE031F"/>
    <w:rsid w:val="030C6C7C"/>
    <w:rsid w:val="03165668"/>
    <w:rsid w:val="03256924"/>
    <w:rsid w:val="03351867"/>
    <w:rsid w:val="03563CB7"/>
    <w:rsid w:val="03586DD3"/>
    <w:rsid w:val="03653EFA"/>
    <w:rsid w:val="03727551"/>
    <w:rsid w:val="038B7EDF"/>
    <w:rsid w:val="038C76D9"/>
    <w:rsid w:val="0395612A"/>
    <w:rsid w:val="039A3C77"/>
    <w:rsid w:val="03A75ED9"/>
    <w:rsid w:val="03B7227C"/>
    <w:rsid w:val="03B86720"/>
    <w:rsid w:val="03B94246"/>
    <w:rsid w:val="03CC3F79"/>
    <w:rsid w:val="03CC575C"/>
    <w:rsid w:val="03EF5EB9"/>
    <w:rsid w:val="03FF434E"/>
    <w:rsid w:val="04194CE4"/>
    <w:rsid w:val="04245B63"/>
    <w:rsid w:val="0430275A"/>
    <w:rsid w:val="044E2BE0"/>
    <w:rsid w:val="0458580D"/>
    <w:rsid w:val="046417B6"/>
    <w:rsid w:val="047343F5"/>
    <w:rsid w:val="049F5B69"/>
    <w:rsid w:val="04A71CEE"/>
    <w:rsid w:val="04C75034"/>
    <w:rsid w:val="04CE1F73"/>
    <w:rsid w:val="04F87DDC"/>
    <w:rsid w:val="0508712F"/>
    <w:rsid w:val="050C4C41"/>
    <w:rsid w:val="051D46C3"/>
    <w:rsid w:val="05223F20"/>
    <w:rsid w:val="053C512E"/>
    <w:rsid w:val="0554620D"/>
    <w:rsid w:val="055C132D"/>
    <w:rsid w:val="055D7336"/>
    <w:rsid w:val="056A1C9B"/>
    <w:rsid w:val="05747309"/>
    <w:rsid w:val="058C7E64"/>
    <w:rsid w:val="058F34B0"/>
    <w:rsid w:val="05A21742"/>
    <w:rsid w:val="05A57667"/>
    <w:rsid w:val="05A801E9"/>
    <w:rsid w:val="05B36C49"/>
    <w:rsid w:val="05D12EAC"/>
    <w:rsid w:val="05E42ED8"/>
    <w:rsid w:val="05E60AF0"/>
    <w:rsid w:val="05EA6938"/>
    <w:rsid w:val="05F31C91"/>
    <w:rsid w:val="060C2D53"/>
    <w:rsid w:val="06251821"/>
    <w:rsid w:val="06316315"/>
    <w:rsid w:val="063B53E6"/>
    <w:rsid w:val="0643476A"/>
    <w:rsid w:val="06465ED7"/>
    <w:rsid w:val="064E36F5"/>
    <w:rsid w:val="06585F98"/>
    <w:rsid w:val="065D535C"/>
    <w:rsid w:val="06607A35"/>
    <w:rsid w:val="0661028A"/>
    <w:rsid w:val="067D155B"/>
    <w:rsid w:val="06A71033"/>
    <w:rsid w:val="06C76C7A"/>
    <w:rsid w:val="06D01FD2"/>
    <w:rsid w:val="06DD6DDA"/>
    <w:rsid w:val="0708176C"/>
    <w:rsid w:val="07293490"/>
    <w:rsid w:val="072D2F81"/>
    <w:rsid w:val="072F590B"/>
    <w:rsid w:val="073B4785"/>
    <w:rsid w:val="07464042"/>
    <w:rsid w:val="0753050D"/>
    <w:rsid w:val="0777244E"/>
    <w:rsid w:val="077E1A2E"/>
    <w:rsid w:val="07AB0349"/>
    <w:rsid w:val="07AF1BE8"/>
    <w:rsid w:val="07D557D1"/>
    <w:rsid w:val="07E445FD"/>
    <w:rsid w:val="07F13FAE"/>
    <w:rsid w:val="07F94E43"/>
    <w:rsid w:val="07FE4890"/>
    <w:rsid w:val="081D2FF5"/>
    <w:rsid w:val="081D6F31"/>
    <w:rsid w:val="08216443"/>
    <w:rsid w:val="082A5712"/>
    <w:rsid w:val="08494B4C"/>
    <w:rsid w:val="084A1910"/>
    <w:rsid w:val="0857122D"/>
    <w:rsid w:val="08577072"/>
    <w:rsid w:val="087911A9"/>
    <w:rsid w:val="087D7B98"/>
    <w:rsid w:val="088E3EF3"/>
    <w:rsid w:val="0897252E"/>
    <w:rsid w:val="089D4136"/>
    <w:rsid w:val="08A07782"/>
    <w:rsid w:val="08B60D54"/>
    <w:rsid w:val="08B82D1E"/>
    <w:rsid w:val="08C31B0C"/>
    <w:rsid w:val="08C90A87"/>
    <w:rsid w:val="08D12C1A"/>
    <w:rsid w:val="09023F99"/>
    <w:rsid w:val="09304FAA"/>
    <w:rsid w:val="093C56FD"/>
    <w:rsid w:val="09491BC8"/>
    <w:rsid w:val="09694018"/>
    <w:rsid w:val="09696E9D"/>
    <w:rsid w:val="09727371"/>
    <w:rsid w:val="098D5F59"/>
    <w:rsid w:val="099616E8"/>
    <w:rsid w:val="099C3837"/>
    <w:rsid w:val="09A34AFA"/>
    <w:rsid w:val="09A60DC8"/>
    <w:rsid w:val="09AC3D62"/>
    <w:rsid w:val="09B72FD5"/>
    <w:rsid w:val="09CD45A7"/>
    <w:rsid w:val="09D27E0F"/>
    <w:rsid w:val="09DE0562"/>
    <w:rsid w:val="09EF6C13"/>
    <w:rsid w:val="09F75AC8"/>
    <w:rsid w:val="0A00672A"/>
    <w:rsid w:val="0A0D0E47"/>
    <w:rsid w:val="0A197BB0"/>
    <w:rsid w:val="0A334D52"/>
    <w:rsid w:val="0A5D609E"/>
    <w:rsid w:val="0A6633BE"/>
    <w:rsid w:val="0A7315F2"/>
    <w:rsid w:val="0A7D7A33"/>
    <w:rsid w:val="0A825391"/>
    <w:rsid w:val="0A93759F"/>
    <w:rsid w:val="0AA01CBB"/>
    <w:rsid w:val="0AAB7F98"/>
    <w:rsid w:val="0ACA6D38"/>
    <w:rsid w:val="0ACD6B49"/>
    <w:rsid w:val="0ADF4592"/>
    <w:rsid w:val="0AE22ED8"/>
    <w:rsid w:val="0AFC6CD7"/>
    <w:rsid w:val="0AFD2C6A"/>
    <w:rsid w:val="0B0B182B"/>
    <w:rsid w:val="0B0E3A62"/>
    <w:rsid w:val="0B106B1B"/>
    <w:rsid w:val="0B1520F6"/>
    <w:rsid w:val="0B1D50BA"/>
    <w:rsid w:val="0B1E5566"/>
    <w:rsid w:val="0B371F90"/>
    <w:rsid w:val="0B394687"/>
    <w:rsid w:val="0B61144B"/>
    <w:rsid w:val="0B635F2E"/>
    <w:rsid w:val="0B812064"/>
    <w:rsid w:val="0B837613"/>
    <w:rsid w:val="0B8615FF"/>
    <w:rsid w:val="0B946D41"/>
    <w:rsid w:val="0B9C06D5"/>
    <w:rsid w:val="0B9D61FB"/>
    <w:rsid w:val="0B9F079E"/>
    <w:rsid w:val="0B9F331C"/>
    <w:rsid w:val="0BA25527"/>
    <w:rsid w:val="0BA80E28"/>
    <w:rsid w:val="0BAE21B6"/>
    <w:rsid w:val="0BBB1AC5"/>
    <w:rsid w:val="0BC30111"/>
    <w:rsid w:val="0BC65752"/>
    <w:rsid w:val="0BD54104"/>
    <w:rsid w:val="0BD55995"/>
    <w:rsid w:val="0BEF6A57"/>
    <w:rsid w:val="0C0E4DD6"/>
    <w:rsid w:val="0C2040BB"/>
    <w:rsid w:val="0C324B95"/>
    <w:rsid w:val="0C364685"/>
    <w:rsid w:val="0C3B69B0"/>
    <w:rsid w:val="0C3E7442"/>
    <w:rsid w:val="0C4D2A06"/>
    <w:rsid w:val="0C5C3FB2"/>
    <w:rsid w:val="0C825B1D"/>
    <w:rsid w:val="0C8679C8"/>
    <w:rsid w:val="0C8B41D9"/>
    <w:rsid w:val="0C92157C"/>
    <w:rsid w:val="0C9E62E6"/>
    <w:rsid w:val="0CB84840"/>
    <w:rsid w:val="0CC15CA8"/>
    <w:rsid w:val="0CD33710"/>
    <w:rsid w:val="0CEC11E8"/>
    <w:rsid w:val="0CEF7A9A"/>
    <w:rsid w:val="0D0570E0"/>
    <w:rsid w:val="0D0B5B12"/>
    <w:rsid w:val="0D0D38A1"/>
    <w:rsid w:val="0D116EA1"/>
    <w:rsid w:val="0D1A0E57"/>
    <w:rsid w:val="0D442DD2"/>
    <w:rsid w:val="0D45762B"/>
    <w:rsid w:val="0D4E1EA3"/>
    <w:rsid w:val="0D554FDF"/>
    <w:rsid w:val="0D660F9A"/>
    <w:rsid w:val="0D682268"/>
    <w:rsid w:val="0D6B4803"/>
    <w:rsid w:val="0D7207A6"/>
    <w:rsid w:val="0D7C256C"/>
    <w:rsid w:val="0D86163D"/>
    <w:rsid w:val="0D935B07"/>
    <w:rsid w:val="0D9D0734"/>
    <w:rsid w:val="0DAF4EAC"/>
    <w:rsid w:val="0DB40F19"/>
    <w:rsid w:val="0DBB3FF2"/>
    <w:rsid w:val="0DC14423"/>
    <w:rsid w:val="0DD01E8B"/>
    <w:rsid w:val="0DF46F68"/>
    <w:rsid w:val="0E0B7D94"/>
    <w:rsid w:val="0E1B7FD7"/>
    <w:rsid w:val="0E2055ED"/>
    <w:rsid w:val="0E3266C9"/>
    <w:rsid w:val="0E43752E"/>
    <w:rsid w:val="0E45366A"/>
    <w:rsid w:val="0E454D91"/>
    <w:rsid w:val="0E511C4A"/>
    <w:rsid w:val="0E5A115E"/>
    <w:rsid w:val="0E7476E7"/>
    <w:rsid w:val="0EA87391"/>
    <w:rsid w:val="0EB775D4"/>
    <w:rsid w:val="0EBB5316"/>
    <w:rsid w:val="0EBD108E"/>
    <w:rsid w:val="0EC20452"/>
    <w:rsid w:val="0ECE329B"/>
    <w:rsid w:val="0EDA57B1"/>
    <w:rsid w:val="0EFD5B11"/>
    <w:rsid w:val="0F003CCC"/>
    <w:rsid w:val="0F0F093A"/>
    <w:rsid w:val="0F29227F"/>
    <w:rsid w:val="0F2C2AC0"/>
    <w:rsid w:val="0F2F10AA"/>
    <w:rsid w:val="0F5117D6"/>
    <w:rsid w:val="0F512FE8"/>
    <w:rsid w:val="0F6B19D9"/>
    <w:rsid w:val="0F6E7A2E"/>
    <w:rsid w:val="0F7200CA"/>
    <w:rsid w:val="0F785BB6"/>
    <w:rsid w:val="0F8D684D"/>
    <w:rsid w:val="0F917E25"/>
    <w:rsid w:val="0FA87A47"/>
    <w:rsid w:val="0FBC30F4"/>
    <w:rsid w:val="0FC356C4"/>
    <w:rsid w:val="0FD03043"/>
    <w:rsid w:val="0FD6408A"/>
    <w:rsid w:val="0FE443F8"/>
    <w:rsid w:val="0FEE34C9"/>
    <w:rsid w:val="0FEE5277"/>
    <w:rsid w:val="0FF747FD"/>
    <w:rsid w:val="10042CED"/>
    <w:rsid w:val="100430D4"/>
    <w:rsid w:val="10046849"/>
    <w:rsid w:val="10054422"/>
    <w:rsid w:val="10090303"/>
    <w:rsid w:val="100D33BE"/>
    <w:rsid w:val="1030763E"/>
    <w:rsid w:val="10333C89"/>
    <w:rsid w:val="1047053C"/>
    <w:rsid w:val="105A290D"/>
    <w:rsid w:val="106043C7"/>
    <w:rsid w:val="10633BB0"/>
    <w:rsid w:val="1068327B"/>
    <w:rsid w:val="107053C2"/>
    <w:rsid w:val="10881228"/>
    <w:rsid w:val="108909ED"/>
    <w:rsid w:val="10923E54"/>
    <w:rsid w:val="10A2696B"/>
    <w:rsid w:val="10BB33AB"/>
    <w:rsid w:val="10DA6146"/>
    <w:rsid w:val="10EC5C5A"/>
    <w:rsid w:val="111B5199"/>
    <w:rsid w:val="111D10C4"/>
    <w:rsid w:val="1121285F"/>
    <w:rsid w:val="1122167C"/>
    <w:rsid w:val="112B79D3"/>
    <w:rsid w:val="113849FC"/>
    <w:rsid w:val="11395C46"/>
    <w:rsid w:val="1144463E"/>
    <w:rsid w:val="11515ABE"/>
    <w:rsid w:val="1159153D"/>
    <w:rsid w:val="11643A43"/>
    <w:rsid w:val="117C4524"/>
    <w:rsid w:val="11956C56"/>
    <w:rsid w:val="11A227BD"/>
    <w:rsid w:val="11A65EF9"/>
    <w:rsid w:val="11AC7198"/>
    <w:rsid w:val="11AD56D9"/>
    <w:rsid w:val="11CC3F3C"/>
    <w:rsid w:val="11DE24C7"/>
    <w:rsid w:val="11E95D9A"/>
    <w:rsid w:val="11ED1C8A"/>
    <w:rsid w:val="11F34DC7"/>
    <w:rsid w:val="1219324A"/>
    <w:rsid w:val="121C256F"/>
    <w:rsid w:val="12202A9A"/>
    <w:rsid w:val="122356AC"/>
    <w:rsid w:val="12263667"/>
    <w:rsid w:val="12347F4E"/>
    <w:rsid w:val="124F5AB1"/>
    <w:rsid w:val="126161D4"/>
    <w:rsid w:val="12637A70"/>
    <w:rsid w:val="12637DDD"/>
    <w:rsid w:val="12705C44"/>
    <w:rsid w:val="12794AAC"/>
    <w:rsid w:val="1283439D"/>
    <w:rsid w:val="12880156"/>
    <w:rsid w:val="128D521B"/>
    <w:rsid w:val="12942106"/>
    <w:rsid w:val="129E2F84"/>
    <w:rsid w:val="129F1751"/>
    <w:rsid w:val="12A54D4B"/>
    <w:rsid w:val="12A90F88"/>
    <w:rsid w:val="12AA1929"/>
    <w:rsid w:val="12AD2FC4"/>
    <w:rsid w:val="12AD766B"/>
    <w:rsid w:val="12BC48F7"/>
    <w:rsid w:val="12BD4C0A"/>
    <w:rsid w:val="12C34D19"/>
    <w:rsid w:val="12D328F7"/>
    <w:rsid w:val="12EA61CA"/>
    <w:rsid w:val="12F9640D"/>
    <w:rsid w:val="12FB3F33"/>
    <w:rsid w:val="12FC31CA"/>
    <w:rsid w:val="13003AE0"/>
    <w:rsid w:val="1303728B"/>
    <w:rsid w:val="13143CA2"/>
    <w:rsid w:val="132536A6"/>
    <w:rsid w:val="132C233E"/>
    <w:rsid w:val="132E487A"/>
    <w:rsid w:val="13325EEF"/>
    <w:rsid w:val="13482376"/>
    <w:rsid w:val="13533D6F"/>
    <w:rsid w:val="1356385F"/>
    <w:rsid w:val="1360648C"/>
    <w:rsid w:val="13625988"/>
    <w:rsid w:val="13684717"/>
    <w:rsid w:val="136C3083"/>
    <w:rsid w:val="13765CAF"/>
    <w:rsid w:val="137B32C6"/>
    <w:rsid w:val="1381159C"/>
    <w:rsid w:val="138F16CD"/>
    <w:rsid w:val="13AF4D1D"/>
    <w:rsid w:val="13B97DE6"/>
    <w:rsid w:val="13BC6EF1"/>
    <w:rsid w:val="13D84274"/>
    <w:rsid w:val="13E02E53"/>
    <w:rsid w:val="13E46DDB"/>
    <w:rsid w:val="13FF2FCC"/>
    <w:rsid w:val="140212F1"/>
    <w:rsid w:val="14043122"/>
    <w:rsid w:val="14045069"/>
    <w:rsid w:val="14096B23"/>
    <w:rsid w:val="140C03C2"/>
    <w:rsid w:val="14221993"/>
    <w:rsid w:val="14276FAA"/>
    <w:rsid w:val="142B6CE5"/>
    <w:rsid w:val="14321BD6"/>
    <w:rsid w:val="144E4536"/>
    <w:rsid w:val="145C30F7"/>
    <w:rsid w:val="145E6E6F"/>
    <w:rsid w:val="1464768B"/>
    <w:rsid w:val="14720225"/>
    <w:rsid w:val="148B257E"/>
    <w:rsid w:val="14B352E9"/>
    <w:rsid w:val="14C34C68"/>
    <w:rsid w:val="14D94748"/>
    <w:rsid w:val="14DA3056"/>
    <w:rsid w:val="14E629C1"/>
    <w:rsid w:val="14EA0703"/>
    <w:rsid w:val="14FB0C64"/>
    <w:rsid w:val="150247F4"/>
    <w:rsid w:val="151B6B0E"/>
    <w:rsid w:val="151C2D3E"/>
    <w:rsid w:val="151E3D15"/>
    <w:rsid w:val="1546345F"/>
    <w:rsid w:val="15632263"/>
    <w:rsid w:val="156A35F2"/>
    <w:rsid w:val="156C1118"/>
    <w:rsid w:val="156E30E2"/>
    <w:rsid w:val="15786558"/>
    <w:rsid w:val="15947105"/>
    <w:rsid w:val="15A35C8E"/>
    <w:rsid w:val="15E11B06"/>
    <w:rsid w:val="15F6407C"/>
    <w:rsid w:val="15FC0509"/>
    <w:rsid w:val="1603609E"/>
    <w:rsid w:val="160C1B84"/>
    <w:rsid w:val="160C46A9"/>
    <w:rsid w:val="16117F11"/>
    <w:rsid w:val="161A6816"/>
    <w:rsid w:val="162163A6"/>
    <w:rsid w:val="163453DC"/>
    <w:rsid w:val="16384D93"/>
    <w:rsid w:val="16500A3A"/>
    <w:rsid w:val="16534086"/>
    <w:rsid w:val="166938A9"/>
    <w:rsid w:val="16734728"/>
    <w:rsid w:val="167760A2"/>
    <w:rsid w:val="16881F81"/>
    <w:rsid w:val="16922E00"/>
    <w:rsid w:val="16AB664F"/>
    <w:rsid w:val="16AF095C"/>
    <w:rsid w:val="16B34B25"/>
    <w:rsid w:val="16BF171B"/>
    <w:rsid w:val="16D01B7A"/>
    <w:rsid w:val="16D51B0C"/>
    <w:rsid w:val="16DC051F"/>
    <w:rsid w:val="16DE4517"/>
    <w:rsid w:val="17051824"/>
    <w:rsid w:val="170F26A3"/>
    <w:rsid w:val="170F61FF"/>
    <w:rsid w:val="171239B7"/>
    <w:rsid w:val="1713202A"/>
    <w:rsid w:val="172F6ABD"/>
    <w:rsid w:val="17422A23"/>
    <w:rsid w:val="175E4D86"/>
    <w:rsid w:val="176A5B2B"/>
    <w:rsid w:val="17833C2E"/>
    <w:rsid w:val="17A32DEB"/>
    <w:rsid w:val="17B77E97"/>
    <w:rsid w:val="17BE19D3"/>
    <w:rsid w:val="17CA65CA"/>
    <w:rsid w:val="17F85A49"/>
    <w:rsid w:val="17F92A0B"/>
    <w:rsid w:val="17FF6273"/>
    <w:rsid w:val="18291542"/>
    <w:rsid w:val="18455C50"/>
    <w:rsid w:val="18495740"/>
    <w:rsid w:val="18602E7D"/>
    <w:rsid w:val="187327BD"/>
    <w:rsid w:val="187A1D9E"/>
    <w:rsid w:val="187A7FF0"/>
    <w:rsid w:val="187F5606"/>
    <w:rsid w:val="18A750FB"/>
    <w:rsid w:val="18BA12F3"/>
    <w:rsid w:val="18BD1D4F"/>
    <w:rsid w:val="18C63235"/>
    <w:rsid w:val="18CD0120"/>
    <w:rsid w:val="18D21E90"/>
    <w:rsid w:val="18DA1B06"/>
    <w:rsid w:val="18E23AC7"/>
    <w:rsid w:val="18EB639E"/>
    <w:rsid w:val="18FA6A3B"/>
    <w:rsid w:val="19067AD5"/>
    <w:rsid w:val="190C3220"/>
    <w:rsid w:val="190E24E6"/>
    <w:rsid w:val="19170FAD"/>
    <w:rsid w:val="191A4C49"/>
    <w:rsid w:val="192A5572"/>
    <w:rsid w:val="19307ACF"/>
    <w:rsid w:val="193B777F"/>
    <w:rsid w:val="1941466A"/>
    <w:rsid w:val="19466124"/>
    <w:rsid w:val="19566FD7"/>
    <w:rsid w:val="19570331"/>
    <w:rsid w:val="19685F89"/>
    <w:rsid w:val="19742C91"/>
    <w:rsid w:val="197762DD"/>
    <w:rsid w:val="1981715C"/>
    <w:rsid w:val="1990114D"/>
    <w:rsid w:val="199237FE"/>
    <w:rsid w:val="19AA39FA"/>
    <w:rsid w:val="19B80A3D"/>
    <w:rsid w:val="19D210B7"/>
    <w:rsid w:val="19DE62D6"/>
    <w:rsid w:val="1A04207E"/>
    <w:rsid w:val="1A2C4D45"/>
    <w:rsid w:val="1A45575B"/>
    <w:rsid w:val="1A4F2DB6"/>
    <w:rsid w:val="1A4F5142"/>
    <w:rsid w:val="1A501008"/>
    <w:rsid w:val="1A8349A0"/>
    <w:rsid w:val="1A8677B4"/>
    <w:rsid w:val="1AC60213"/>
    <w:rsid w:val="1AC94917"/>
    <w:rsid w:val="1AD0039B"/>
    <w:rsid w:val="1AD37F63"/>
    <w:rsid w:val="1AE62310"/>
    <w:rsid w:val="1AFA0F74"/>
    <w:rsid w:val="1B1322BD"/>
    <w:rsid w:val="1B14479C"/>
    <w:rsid w:val="1B2D40CD"/>
    <w:rsid w:val="1B3B18A8"/>
    <w:rsid w:val="1B4A3CA9"/>
    <w:rsid w:val="1B5D431C"/>
    <w:rsid w:val="1B79458F"/>
    <w:rsid w:val="1B83540D"/>
    <w:rsid w:val="1BBA44A8"/>
    <w:rsid w:val="1BBC4D6E"/>
    <w:rsid w:val="1BC81072"/>
    <w:rsid w:val="1BC91310"/>
    <w:rsid w:val="1BCF5DCF"/>
    <w:rsid w:val="1BD62565"/>
    <w:rsid w:val="1BD9502D"/>
    <w:rsid w:val="1C0C52E1"/>
    <w:rsid w:val="1C4032FE"/>
    <w:rsid w:val="1C5D7A0C"/>
    <w:rsid w:val="1C662D65"/>
    <w:rsid w:val="1C6C369E"/>
    <w:rsid w:val="1C7A6810"/>
    <w:rsid w:val="1CD14625"/>
    <w:rsid w:val="1D085844"/>
    <w:rsid w:val="1D1502E7"/>
    <w:rsid w:val="1D1C1676"/>
    <w:rsid w:val="1D322765"/>
    <w:rsid w:val="1D3249F5"/>
    <w:rsid w:val="1D3C1D18"/>
    <w:rsid w:val="1D4E37F9"/>
    <w:rsid w:val="1D5127B7"/>
    <w:rsid w:val="1D584A11"/>
    <w:rsid w:val="1D927EAB"/>
    <w:rsid w:val="1D9C27B6"/>
    <w:rsid w:val="1D9E208B"/>
    <w:rsid w:val="1DAB599E"/>
    <w:rsid w:val="1DC1446C"/>
    <w:rsid w:val="1DCA2E80"/>
    <w:rsid w:val="1DD45AAC"/>
    <w:rsid w:val="1E0A6237"/>
    <w:rsid w:val="1E1A7FEB"/>
    <w:rsid w:val="1E1E54FA"/>
    <w:rsid w:val="1E264B94"/>
    <w:rsid w:val="1E3A586E"/>
    <w:rsid w:val="1E3D1825"/>
    <w:rsid w:val="1E58492F"/>
    <w:rsid w:val="1E720D5C"/>
    <w:rsid w:val="1E786D7F"/>
    <w:rsid w:val="1E856ED3"/>
    <w:rsid w:val="1E876FC3"/>
    <w:rsid w:val="1E8B07C7"/>
    <w:rsid w:val="1E9A4F48"/>
    <w:rsid w:val="1EAA571D"/>
    <w:rsid w:val="1EC51899"/>
    <w:rsid w:val="1EE47F71"/>
    <w:rsid w:val="1EF8115B"/>
    <w:rsid w:val="1F044C17"/>
    <w:rsid w:val="1F147B9D"/>
    <w:rsid w:val="1F44415E"/>
    <w:rsid w:val="1F4B7FF0"/>
    <w:rsid w:val="1F5812C4"/>
    <w:rsid w:val="1F5A46D7"/>
    <w:rsid w:val="1F6A5F92"/>
    <w:rsid w:val="1F831F91"/>
    <w:rsid w:val="1FA00F50"/>
    <w:rsid w:val="1FC85AE5"/>
    <w:rsid w:val="1FD20C1E"/>
    <w:rsid w:val="1FD453ED"/>
    <w:rsid w:val="200B28A0"/>
    <w:rsid w:val="200F54C2"/>
    <w:rsid w:val="201605FE"/>
    <w:rsid w:val="2022581D"/>
    <w:rsid w:val="20230F6D"/>
    <w:rsid w:val="202E6173"/>
    <w:rsid w:val="203C5B8B"/>
    <w:rsid w:val="206E2DF2"/>
    <w:rsid w:val="206F67B1"/>
    <w:rsid w:val="20AA343C"/>
    <w:rsid w:val="20AC0F62"/>
    <w:rsid w:val="20AE0DBD"/>
    <w:rsid w:val="20B17CBC"/>
    <w:rsid w:val="20D66B76"/>
    <w:rsid w:val="20FA4246"/>
    <w:rsid w:val="212B36B3"/>
    <w:rsid w:val="213F5933"/>
    <w:rsid w:val="214747E7"/>
    <w:rsid w:val="21577C0D"/>
    <w:rsid w:val="2181419D"/>
    <w:rsid w:val="218D48F0"/>
    <w:rsid w:val="21AC23EF"/>
    <w:rsid w:val="21B045FD"/>
    <w:rsid w:val="21B46321"/>
    <w:rsid w:val="21B856E5"/>
    <w:rsid w:val="21BE2CFB"/>
    <w:rsid w:val="21CC3A28"/>
    <w:rsid w:val="21DF3522"/>
    <w:rsid w:val="21F030D1"/>
    <w:rsid w:val="21F20BF7"/>
    <w:rsid w:val="21F70753"/>
    <w:rsid w:val="21FD424E"/>
    <w:rsid w:val="220E0823"/>
    <w:rsid w:val="221428E2"/>
    <w:rsid w:val="22196184"/>
    <w:rsid w:val="221E379A"/>
    <w:rsid w:val="2231303B"/>
    <w:rsid w:val="226715E5"/>
    <w:rsid w:val="226F3FF6"/>
    <w:rsid w:val="22857CBD"/>
    <w:rsid w:val="228C5F60"/>
    <w:rsid w:val="22902FBD"/>
    <w:rsid w:val="2297354C"/>
    <w:rsid w:val="229879F0"/>
    <w:rsid w:val="229E198B"/>
    <w:rsid w:val="22A002A0"/>
    <w:rsid w:val="22AC0859"/>
    <w:rsid w:val="22AC349C"/>
    <w:rsid w:val="22BD4007"/>
    <w:rsid w:val="22BE1838"/>
    <w:rsid w:val="22C2772E"/>
    <w:rsid w:val="22CF6E6D"/>
    <w:rsid w:val="22D141D3"/>
    <w:rsid w:val="22EB4100"/>
    <w:rsid w:val="22F56BF1"/>
    <w:rsid w:val="22FA2FDE"/>
    <w:rsid w:val="230010F2"/>
    <w:rsid w:val="2319797B"/>
    <w:rsid w:val="23214DEB"/>
    <w:rsid w:val="2329689A"/>
    <w:rsid w:val="23356A6E"/>
    <w:rsid w:val="23356FED"/>
    <w:rsid w:val="233D31BF"/>
    <w:rsid w:val="23407B7A"/>
    <w:rsid w:val="235B27CC"/>
    <w:rsid w:val="236478D2"/>
    <w:rsid w:val="23863CED"/>
    <w:rsid w:val="2393640A"/>
    <w:rsid w:val="23BE03C4"/>
    <w:rsid w:val="23D34A58"/>
    <w:rsid w:val="23F70746"/>
    <w:rsid w:val="24170DE9"/>
    <w:rsid w:val="242B6642"/>
    <w:rsid w:val="244D480A"/>
    <w:rsid w:val="24596D0B"/>
    <w:rsid w:val="246102B6"/>
    <w:rsid w:val="24637E07"/>
    <w:rsid w:val="24705EF7"/>
    <w:rsid w:val="247E30E0"/>
    <w:rsid w:val="2492542A"/>
    <w:rsid w:val="24A563F4"/>
    <w:rsid w:val="24CC1BD3"/>
    <w:rsid w:val="24E217C8"/>
    <w:rsid w:val="24E24F53"/>
    <w:rsid w:val="24E44EF9"/>
    <w:rsid w:val="24EC4023"/>
    <w:rsid w:val="25113F7C"/>
    <w:rsid w:val="25146FE6"/>
    <w:rsid w:val="2524176A"/>
    <w:rsid w:val="253F2A72"/>
    <w:rsid w:val="255410D4"/>
    <w:rsid w:val="256E4A38"/>
    <w:rsid w:val="2580476C"/>
    <w:rsid w:val="259049AF"/>
    <w:rsid w:val="25951FC5"/>
    <w:rsid w:val="25974098"/>
    <w:rsid w:val="25C91C6F"/>
    <w:rsid w:val="25D23219"/>
    <w:rsid w:val="25EE7F26"/>
    <w:rsid w:val="262523F6"/>
    <w:rsid w:val="262E4AD8"/>
    <w:rsid w:val="262E68BC"/>
    <w:rsid w:val="26306192"/>
    <w:rsid w:val="26395046"/>
    <w:rsid w:val="26445CAE"/>
    <w:rsid w:val="26461511"/>
    <w:rsid w:val="265610D7"/>
    <w:rsid w:val="265C0D35"/>
    <w:rsid w:val="2677791D"/>
    <w:rsid w:val="2684130D"/>
    <w:rsid w:val="26A11555"/>
    <w:rsid w:val="26A5092E"/>
    <w:rsid w:val="26A56238"/>
    <w:rsid w:val="26E2748C"/>
    <w:rsid w:val="26F61189"/>
    <w:rsid w:val="26F70A5D"/>
    <w:rsid w:val="26FB67A0"/>
    <w:rsid w:val="27054E05"/>
    <w:rsid w:val="27196C26"/>
    <w:rsid w:val="272107C1"/>
    <w:rsid w:val="27214B2B"/>
    <w:rsid w:val="27315D1D"/>
    <w:rsid w:val="2734580E"/>
    <w:rsid w:val="27483067"/>
    <w:rsid w:val="27551999"/>
    <w:rsid w:val="27556697"/>
    <w:rsid w:val="27644345"/>
    <w:rsid w:val="27A04C51"/>
    <w:rsid w:val="27AA3332"/>
    <w:rsid w:val="27B30857"/>
    <w:rsid w:val="27BA3F65"/>
    <w:rsid w:val="27D063FA"/>
    <w:rsid w:val="27D74B86"/>
    <w:rsid w:val="27E62FAC"/>
    <w:rsid w:val="27FA0805"/>
    <w:rsid w:val="27FC632B"/>
    <w:rsid w:val="27FD59F4"/>
    <w:rsid w:val="280B2A12"/>
    <w:rsid w:val="28120F15"/>
    <w:rsid w:val="281573ED"/>
    <w:rsid w:val="28212236"/>
    <w:rsid w:val="2829733C"/>
    <w:rsid w:val="283F26BC"/>
    <w:rsid w:val="284602C5"/>
    <w:rsid w:val="286C3BF6"/>
    <w:rsid w:val="28724217"/>
    <w:rsid w:val="287A7186"/>
    <w:rsid w:val="288325A9"/>
    <w:rsid w:val="28865761"/>
    <w:rsid w:val="288B5901"/>
    <w:rsid w:val="28A044B5"/>
    <w:rsid w:val="28AF339E"/>
    <w:rsid w:val="28B906C0"/>
    <w:rsid w:val="28D64DCE"/>
    <w:rsid w:val="28D76D98"/>
    <w:rsid w:val="28DC6918"/>
    <w:rsid w:val="28E219C5"/>
    <w:rsid w:val="2903193C"/>
    <w:rsid w:val="2907142C"/>
    <w:rsid w:val="29122D8D"/>
    <w:rsid w:val="292F44DF"/>
    <w:rsid w:val="29455AB0"/>
    <w:rsid w:val="295000DE"/>
    <w:rsid w:val="295D72EA"/>
    <w:rsid w:val="29626DE5"/>
    <w:rsid w:val="2967643B"/>
    <w:rsid w:val="296F5FE7"/>
    <w:rsid w:val="297168A5"/>
    <w:rsid w:val="297565A6"/>
    <w:rsid w:val="297B5986"/>
    <w:rsid w:val="29883BEF"/>
    <w:rsid w:val="298B3BBE"/>
    <w:rsid w:val="299D769A"/>
    <w:rsid w:val="299F1664"/>
    <w:rsid w:val="29B11398"/>
    <w:rsid w:val="29B60846"/>
    <w:rsid w:val="29BE3433"/>
    <w:rsid w:val="29BE7749"/>
    <w:rsid w:val="29C02532"/>
    <w:rsid w:val="29D3130E"/>
    <w:rsid w:val="29EA03B2"/>
    <w:rsid w:val="2A102562"/>
    <w:rsid w:val="2A13795C"/>
    <w:rsid w:val="2A1536D4"/>
    <w:rsid w:val="2A3D0E7D"/>
    <w:rsid w:val="2A3F2B2A"/>
    <w:rsid w:val="2A64465C"/>
    <w:rsid w:val="2A663F30"/>
    <w:rsid w:val="2A7D5DC6"/>
    <w:rsid w:val="2A88034A"/>
    <w:rsid w:val="2A9B706F"/>
    <w:rsid w:val="2AA44A58"/>
    <w:rsid w:val="2AAF3B29"/>
    <w:rsid w:val="2ABC1DA2"/>
    <w:rsid w:val="2ACF7D27"/>
    <w:rsid w:val="2AD6553A"/>
    <w:rsid w:val="2AEB2687"/>
    <w:rsid w:val="2AF07C9E"/>
    <w:rsid w:val="2AF23A16"/>
    <w:rsid w:val="2B0A6FB1"/>
    <w:rsid w:val="2B0C725F"/>
    <w:rsid w:val="2B1B11BE"/>
    <w:rsid w:val="2B286423"/>
    <w:rsid w:val="2B306348"/>
    <w:rsid w:val="2B3D4F6C"/>
    <w:rsid w:val="2B7F2CB6"/>
    <w:rsid w:val="2B872ED7"/>
    <w:rsid w:val="2B8804EA"/>
    <w:rsid w:val="2B8D0C77"/>
    <w:rsid w:val="2BA03472"/>
    <w:rsid w:val="2BAE3DE1"/>
    <w:rsid w:val="2BB05B96"/>
    <w:rsid w:val="2BB05DAB"/>
    <w:rsid w:val="2BB85852"/>
    <w:rsid w:val="2BBB02AC"/>
    <w:rsid w:val="2BBB474F"/>
    <w:rsid w:val="2BBD4024"/>
    <w:rsid w:val="2BBD60E9"/>
    <w:rsid w:val="2BC77803"/>
    <w:rsid w:val="2BD61589"/>
    <w:rsid w:val="2BFF3ECC"/>
    <w:rsid w:val="2C151290"/>
    <w:rsid w:val="2C153E60"/>
    <w:rsid w:val="2C1A76C8"/>
    <w:rsid w:val="2C1F6A8C"/>
    <w:rsid w:val="2C21576D"/>
    <w:rsid w:val="2C2B7EA0"/>
    <w:rsid w:val="2C515C38"/>
    <w:rsid w:val="2C536A52"/>
    <w:rsid w:val="2C5D5807"/>
    <w:rsid w:val="2C600023"/>
    <w:rsid w:val="2C646B95"/>
    <w:rsid w:val="2C6D3C9C"/>
    <w:rsid w:val="2C7927EE"/>
    <w:rsid w:val="2C902837"/>
    <w:rsid w:val="2C9322E0"/>
    <w:rsid w:val="2CAA0276"/>
    <w:rsid w:val="2CB40E43"/>
    <w:rsid w:val="2CB50A49"/>
    <w:rsid w:val="2CBE79DE"/>
    <w:rsid w:val="2CC43EBC"/>
    <w:rsid w:val="2CC82322"/>
    <w:rsid w:val="2CD0422B"/>
    <w:rsid w:val="2CDD77DB"/>
    <w:rsid w:val="2CED26E7"/>
    <w:rsid w:val="2CF07639"/>
    <w:rsid w:val="2D1303BB"/>
    <w:rsid w:val="2D157E8F"/>
    <w:rsid w:val="2D1C61C6"/>
    <w:rsid w:val="2D1E4F96"/>
    <w:rsid w:val="2D247FF8"/>
    <w:rsid w:val="2D574004"/>
    <w:rsid w:val="2D6F7FC8"/>
    <w:rsid w:val="2D881208"/>
    <w:rsid w:val="2D945258"/>
    <w:rsid w:val="2DA84860"/>
    <w:rsid w:val="2DA92C79"/>
    <w:rsid w:val="2DBB16CD"/>
    <w:rsid w:val="2DBD655D"/>
    <w:rsid w:val="2DC566A9"/>
    <w:rsid w:val="2DC94109"/>
    <w:rsid w:val="2DCD782D"/>
    <w:rsid w:val="2DE806A9"/>
    <w:rsid w:val="2DEA3BAE"/>
    <w:rsid w:val="2DEC0BF0"/>
    <w:rsid w:val="2DF83A39"/>
    <w:rsid w:val="2E0777D8"/>
    <w:rsid w:val="2E166CE2"/>
    <w:rsid w:val="2E1F0FC6"/>
    <w:rsid w:val="2E232138"/>
    <w:rsid w:val="2E30565F"/>
    <w:rsid w:val="2E352597"/>
    <w:rsid w:val="2E527A09"/>
    <w:rsid w:val="2E556795"/>
    <w:rsid w:val="2E5D7713"/>
    <w:rsid w:val="2E642E7C"/>
    <w:rsid w:val="2E6C60E2"/>
    <w:rsid w:val="2E7806D6"/>
    <w:rsid w:val="2E8E7EF9"/>
    <w:rsid w:val="2EAD1754"/>
    <w:rsid w:val="2EAD4823"/>
    <w:rsid w:val="2EB060C2"/>
    <w:rsid w:val="2EB24CE0"/>
    <w:rsid w:val="2EB72FAC"/>
    <w:rsid w:val="2EB82725"/>
    <w:rsid w:val="2EBC6814"/>
    <w:rsid w:val="2EBF519D"/>
    <w:rsid w:val="2EDD678B"/>
    <w:rsid w:val="2EE8520D"/>
    <w:rsid w:val="2EF064BE"/>
    <w:rsid w:val="2EF266DA"/>
    <w:rsid w:val="2EF73CF0"/>
    <w:rsid w:val="2EFA1199"/>
    <w:rsid w:val="2F01691D"/>
    <w:rsid w:val="2F035BAE"/>
    <w:rsid w:val="2F081A5A"/>
    <w:rsid w:val="2F0B779C"/>
    <w:rsid w:val="2F261EE0"/>
    <w:rsid w:val="2F397E65"/>
    <w:rsid w:val="2F433910"/>
    <w:rsid w:val="2F7C267E"/>
    <w:rsid w:val="2F854E58"/>
    <w:rsid w:val="2F865733"/>
    <w:rsid w:val="2F912E95"/>
    <w:rsid w:val="2FA238F8"/>
    <w:rsid w:val="2FAC3D7D"/>
    <w:rsid w:val="2FB27C17"/>
    <w:rsid w:val="2FDB0F1C"/>
    <w:rsid w:val="2FDB53C0"/>
    <w:rsid w:val="2FDE495C"/>
    <w:rsid w:val="2FE06533"/>
    <w:rsid w:val="2FE7092F"/>
    <w:rsid w:val="300C7328"/>
    <w:rsid w:val="301A0B68"/>
    <w:rsid w:val="306453B6"/>
    <w:rsid w:val="306B33F2"/>
    <w:rsid w:val="308471EB"/>
    <w:rsid w:val="308710A4"/>
    <w:rsid w:val="309D4BC2"/>
    <w:rsid w:val="30AE03DF"/>
    <w:rsid w:val="30B73737"/>
    <w:rsid w:val="30C75EF1"/>
    <w:rsid w:val="30D25569"/>
    <w:rsid w:val="30D30A74"/>
    <w:rsid w:val="30DC4F4C"/>
    <w:rsid w:val="30E20A94"/>
    <w:rsid w:val="30E6401D"/>
    <w:rsid w:val="30F06C49"/>
    <w:rsid w:val="30F2476F"/>
    <w:rsid w:val="30FA3624"/>
    <w:rsid w:val="30FE4F9D"/>
    <w:rsid w:val="31046251"/>
    <w:rsid w:val="31083F93"/>
    <w:rsid w:val="310D15A9"/>
    <w:rsid w:val="31102E48"/>
    <w:rsid w:val="311D7312"/>
    <w:rsid w:val="311F752F"/>
    <w:rsid w:val="31231738"/>
    <w:rsid w:val="312D5D89"/>
    <w:rsid w:val="3136186D"/>
    <w:rsid w:val="313B48A0"/>
    <w:rsid w:val="31600CE1"/>
    <w:rsid w:val="317E23E0"/>
    <w:rsid w:val="31812FE6"/>
    <w:rsid w:val="31B61C41"/>
    <w:rsid w:val="31C854D0"/>
    <w:rsid w:val="31CA56EC"/>
    <w:rsid w:val="31E16795"/>
    <w:rsid w:val="31E3055C"/>
    <w:rsid w:val="31E340B8"/>
    <w:rsid w:val="31EB11BF"/>
    <w:rsid w:val="31F938DC"/>
    <w:rsid w:val="3219141D"/>
    <w:rsid w:val="32244DFC"/>
    <w:rsid w:val="3225050D"/>
    <w:rsid w:val="322635BA"/>
    <w:rsid w:val="323A7B82"/>
    <w:rsid w:val="325E6613"/>
    <w:rsid w:val="32605D0D"/>
    <w:rsid w:val="326351F9"/>
    <w:rsid w:val="32700370"/>
    <w:rsid w:val="32717916"/>
    <w:rsid w:val="327B2543"/>
    <w:rsid w:val="327E35A1"/>
    <w:rsid w:val="328D5EAA"/>
    <w:rsid w:val="32A520FC"/>
    <w:rsid w:val="32AB23E1"/>
    <w:rsid w:val="32AB4D7B"/>
    <w:rsid w:val="32BF4B40"/>
    <w:rsid w:val="32CE4D68"/>
    <w:rsid w:val="32D16607"/>
    <w:rsid w:val="32DB2E80"/>
    <w:rsid w:val="32EA3D1C"/>
    <w:rsid w:val="32F10A57"/>
    <w:rsid w:val="33012B3C"/>
    <w:rsid w:val="33062754"/>
    <w:rsid w:val="330C5891"/>
    <w:rsid w:val="331663BC"/>
    <w:rsid w:val="334A7C87"/>
    <w:rsid w:val="334B460B"/>
    <w:rsid w:val="334D3EDF"/>
    <w:rsid w:val="33572ED4"/>
    <w:rsid w:val="336712F2"/>
    <w:rsid w:val="336B6A5B"/>
    <w:rsid w:val="337E22EA"/>
    <w:rsid w:val="338F44F8"/>
    <w:rsid w:val="339E6269"/>
    <w:rsid w:val="33AB61C4"/>
    <w:rsid w:val="33B57CD6"/>
    <w:rsid w:val="33B91574"/>
    <w:rsid w:val="33BB16AF"/>
    <w:rsid w:val="33CD6CD8"/>
    <w:rsid w:val="33D0601B"/>
    <w:rsid w:val="33D24037"/>
    <w:rsid w:val="33F572A7"/>
    <w:rsid w:val="33FB682C"/>
    <w:rsid w:val="34207846"/>
    <w:rsid w:val="34394463"/>
    <w:rsid w:val="343E5F1E"/>
    <w:rsid w:val="34592879"/>
    <w:rsid w:val="346E6803"/>
    <w:rsid w:val="34733E3B"/>
    <w:rsid w:val="347A69B9"/>
    <w:rsid w:val="348608BC"/>
    <w:rsid w:val="34873421"/>
    <w:rsid w:val="348E47AF"/>
    <w:rsid w:val="348F0527"/>
    <w:rsid w:val="34A264AC"/>
    <w:rsid w:val="34A57D4B"/>
    <w:rsid w:val="34AA7BE7"/>
    <w:rsid w:val="34B8182C"/>
    <w:rsid w:val="34C319B1"/>
    <w:rsid w:val="34CA2D0E"/>
    <w:rsid w:val="34EE76AA"/>
    <w:rsid w:val="34F0546A"/>
    <w:rsid w:val="34F83359"/>
    <w:rsid w:val="35004F81"/>
    <w:rsid w:val="35132F06"/>
    <w:rsid w:val="351F4A13"/>
    <w:rsid w:val="35325A82"/>
    <w:rsid w:val="354237EC"/>
    <w:rsid w:val="357E4BF5"/>
    <w:rsid w:val="35B20971"/>
    <w:rsid w:val="35B408EC"/>
    <w:rsid w:val="35B71AE4"/>
    <w:rsid w:val="35C553F1"/>
    <w:rsid w:val="35D501BC"/>
    <w:rsid w:val="35DA7959"/>
    <w:rsid w:val="35E400B4"/>
    <w:rsid w:val="35EB3E83"/>
    <w:rsid w:val="35EC62CF"/>
    <w:rsid w:val="35FB2318"/>
    <w:rsid w:val="360833DF"/>
    <w:rsid w:val="361C1B71"/>
    <w:rsid w:val="36297806"/>
    <w:rsid w:val="363D46DF"/>
    <w:rsid w:val="364663DD"/>
    <w:rsid w:val="3660217B"/>
    <w:rsid w:val="366209C7"/>
    <w:rsid w:val="3667175C"/>
    <w:rsid w:val="368D102E"/>
    <w:rsid w:val="369B31B3"/>
    <w:rsid w:val="369D33CF"/>
    <w:rsid w:val="36B204FD"/>
    <w:rsid w:val="36B349A1"/>
    <w:rsid w:val="36E0506A"/>
    <w:rsid w:val="36F62556"/>
    <w:rsid w:val="36FF1994"/>
    <w:rsid w:val="37113475"/>
    <w:rsid w:val="372E04CB"/>
    <w:rsid w:val="373C4996"/>
    <w:rsid w:val="373F4487"/>
    <w:rsid w:val="37406F3C"/>
    <w:rsid w:val="3755259F"/>
    <w:rsid w:val="376129EA"/>
    <w:rsid w:val="376B07F8"/>
    <w:rsid w:val="378123A9"/>
    <w:rsid w:val="3781684D"/>
    <w:rsid w:val="379D1214"/>
    <w:rsid w:val="37AD7642"/>
    <w:rsid w:val="37AE5AFB"/>
    <w:rsid w:val="37DD4E41"/>
    <w:rsid w:val="37E5096E"/>
    <w:rsid w:val="37E75237"/>
    <w:rsid w:val="37FC17D0"/>
    <w:rsid w:val="37FE39FA"/>
    <w:rsid w:val="37FF59C4"/>
    <w:rsid w:val="38181ED6"/>
    <w:rsid w:val="381A45AC"/>
    <w:rsid w:val="38324B63"/>
    <w:rsid w:val="38397128"/>
    <w:rsid w:val="38411CE5"/>
    <w:rsid w:val="38463457"/>
    <w:rsid w:val="38555ECD"/>
    <w:rsid w:val="38575800"/>
    <w:rsid w:val="385D16EB"/>
    <w:rsid w:val="38760FB5"/>
    <w:rsid w:val="388365F5"/>
    <w:rsid w:val="38957B7A"/>
    <w:rsid w:val="38983E4E"/>
    <w:rsid w:val="389B749B"/>
    <w:rsid w:val="389D1465"/>
    <w:rsid w:val="38A24CCD"/>
    <w:rsid w:val="38A722E3"/>
    <w:rsid w:val="38A74091"/>
    <w:rsid w:val="38CB0EA6"/>
    <w:rsid w:val="38CF35E8"/>
    <w:rsid w:val="38D50EAF"/>
    <w:rsid w:val="38E653C4"/>
    <w:rsid w:val="38F65019"/>
    <w:rsid w:val="39070FD4"/>
    <w:rsid w:val="39167469"/>
    <w:rsid w:val="39202096"/>
    <w:rsid w:val="3923100A"/>
    <w:rsid w:val="3933049D"/>
    <w:rsid w:val="394130F5"/>
    <w:rsid w:val="39693A3D"/>
    <w:rsid w:val="397321C6"/>
    <w:rsid w:val="39761504"/>
    <w:rsid w:val="3979254B"/>
    <w:rsid w:val="39842625"/>
    <w:rsid w:val="398D772B"/>
    <w:rsid w:val="3991311F"/>
    <w:rsid w:val="39916AF0"/>
    <w:rsid w:val="39A24859"/>
    <w:rsid w:val="39B34CB8"/>
    <w:rsid w:val="39BA6046"/>
    <w:rsid w:val="39CE1802"/>
    <w:rsid w:val="39D05A2A"/>
    <w:rsid w:val="39E57FDB"/>
    <w:rsid w:val="39F260FE"/>
    <w:rsid w:val="3A0E1EEE"/>
    <w:rsid w:val="3A2B6F44"/>
    <w:rsid w:val="3A357693"/>
    <w:rsid w:val="3A3F0D92"/>
    <w:rsid w:val="3ACB1F58"/>
    <w:rsid w:val="3AD82C28"/>
    <w:rsid w:val="3AE8273F"/>
    <w:rsid w:val="3AEC3F5F"/>
    <w:rsid w:val="3AF31810"/>
    <w:rsid w:val="3AF5624B"/>
    <w:rsid w:val="3B251BE5"/>
    <w:rsid w:val="3B482AC8"/>
    <w:rsid w:val="3B4D6D60"/>
    <w:rsid w:val="3B506C62"/>
    <w:rsid w:val="3B5D2B6A"/>
    <w:rsid w:val="3B6D7D1D"/>
    <w:rsid w:val="3B844B5E"/>
    <w:rsid w:val="3B892174"/>
    <w:rsid w:val="3B9F72A2"/>
    <w:rsid w:val="3BB16FD5"/>
    <w:rsid w:val="3BB735F3"/>
    <w:rsid w:val="3BC31686"/>
    <w:rsid w:val="3BC646E5"/>
    <w:rsid w:val="3BE133AA"/>
    <w:rsid w:val="3BED2703"/>
    <w:rsid w:val="3BEE53C0"/>
    <w:rsid w:val="3BF92411"/>
    <w:rsid w:val="3C017280"/>
    <w:rsid w:val="3C0F756C"/>
    <w:rsid w:val="3C11224A"/>
    <w:rsid w:val="3C12216A"/>
    <w:rsid w:val="3C2123AD"/>
    <w:rsid w:val="3C256989"/>
    <w:rsid w:val="3C2E56C4"/>
    <w:rsid w:val="3C333E8E"/>
    <w:rsid w:val="3C3E2F5F"/>
    <w:rsid w:val="3C4936B2"/>
    <w:rsid w:val="3C4E2A76"/>
    <w:rsid w:val="3C504A40"/>
    <w:rsid w:val="3C614860"/>
    <w:rsid w:val="3C634773"/>
    <w:rsid w:val="3C641104"/>
    <w:rsid w:val="3C644D46"/>
    <w:rsid w:val="3C6A5B02"/>
    <w:rsid w:val="3C720E5A"/>
    <w:rsid w:val="3C776471"/>
    <w:rsid w:val="3C822C83"/>
    <w:rsid w:val="3C8743D6"/>
    <w:rsid w:val="3C885F88"/>
    <w:rsid w:val="3CCD6091"/>
    <w:rsid w:val="3CE358B4"/>
    <w:rsid w:val="3CFA6020"/>
    <w:rsid w:val="3D056533"/>
    <w:rsid w:val="3D0A1093"/>
    <w:rsid w:val="3D157A35"/>
    <w:rsid w:val="3D1617E6"/>
    <w:rsid w:val="3D25605E"/>
    <w:rsid w:val="3D314871"/>
    <w:rsid w:val="3D6549DB"/>
    <w:rsid w:val="3D734E8A"/>
    <w:rsid w:val="3D7529B0"/>
    <w:rsid w:val="3D932E36"/>
    <w:rsid w:val="3DA10B8A"/>
    <w:rsid w:val="3DA44258"/>
    <w:rsid w:val="3DA511F0"/>
    <w:rsid w:val="3DA71A79"/>
    <w:rsid w:val="3DF44DF8"/>
    <w:rsid w:val="3E216694"/>
    <w:rsid w:val="3E281560"/>
    <w:rsid w:val="3E303DE8"/>
    <w:rsid w:val="3E391C30"/>
    <w:rsid w:val="3E3F7278"/>
    <w:rsid w:val="3E502AD5"/>
    <w:rsid w:val="3E5D51F2"/>
    <w:rsid w:val="3E7D3F15"/>
    <w:rsid w:val="3E8B518E"/>
    <w:rsid w:val="3EB65300"/>
    <w:rsid w:val="3EBC016B"/>
    <w:rsid w:val="3EC0401E"/>
    <w:rsid w:val="3ED6747E"/>
    <w:rsid w:val="3EEA117C"/>
    <w:rsid w:val="3F024F2C"/>
    <w:rsid w:val="3F1461F9"/>
    <w:rsid w:val="3F1717F9"/>
    <w:rsid w:val="3F1E0E25"/>
    <w:rsid w:val="3F3B5533"/>
    <w:rsid w:val="3F3D5750"/>
    <w:rsid w:val="3F5703DD"/>
    <w:rsid w:val="3F70371B"/>
    <w:rsid w:val="3F712D15"/>
    <w:rsid w:val="3F7A6DEA"/>
    <w:rsid w:val="3F7D78FA"/>
    <w:rsid w:val="3F8F64D8"/>
    <w:rsid w:val="3F9115F7"/>
    <w:rsid w:val="3F941869"/>
    <w:rsid w:val="3FAC4AAC"/>
    <w:rsid w:val="3FAE21A9"/>
    <w:rsid w:val="3FB05F21"/>
    <w:rsid w:val="3FB24F85"/>
    <w:rsid w:val="3FD404CE"/>
    <w:rsid w:val="3FD860F1"/>
    <w:rsid w:val="3FDE3868"/>
    <w:rsid w:val="3FED3758"/>
    <w:rsid w:val="3FFD4EDF"/>
    <w:rsid w:val="4013200C"/>
    <w:rsid w:val="401C5365"/>
    <w:rsid w:val="402661E4"/>
    <w:rsid w:val="4033009A"/>
    <w:rsid w:val="40416B7A"/>
    <w:rsid w:val="404F7ED5"/>
    <w:rsid w:val="40624D42"/>
    <w:rsid w:val="40664832"/>
    <w:rsid w:val="40880B2A"/>
    <w:rsid w:val="4090365D"/>
    <w:rsid w:val="40994C08"/>
    <w:rsid w:val="40A83F7B"/>
    <w:rsid w:val="40BA4B7E"/>
    <w:rsid w:val="40C236FD"/>
    <w:rsid w:val="410242EF"/>
    <w:rsid w:val="410F6C78"/>
    <w:rsid w:val="41164C5B"/>
    <w:rsid w:val="41321942"/>
    <w:rsid w:val="413564B3"/>
    <w:rsid w:val="41553EC4"/>
    <w:rsid w:val="415648A7"/>
    <w:rsid w:val="4157061F"/>
    <w:rsid w:val="41597EF3"/>
    <w:rsid w:val="416A65A4"/>
    <w:rsid w:val="41886A2A"/>
    <w:rsid w:val="418A27A2"/>
    <w:rsid w:val="418D5DEE"/>
    <w:rsid w:val="41BF6063"/>
    <w:rsid w:val="41CB6C84"/>
    <w:rsid w:val="41D8350E"/>
    <w:rsid w:val="41E139B3"/>
    <w:rsid w:val="420C31B7"/>
    <w:rsid w:val="42131576"/>
    <w:rsid w:val="42187DAE"/>
    <w:rsid w:val="42582954"/>
    <w:rsid w:val="425C7C82"/>
    <w:rsid w:val="42601DD2"/>
    <w:rsid w:val="42786A9F"/>
    <w:rsid w:val="427B634F"/>
    <w:rsid w:val="427C5AD6"/>
    <w:rsid w:val="428B4A24"/>
    <w:rsid w:val="42A87384"/>
    <w:rsid w:val="42B7556B"/>
    <w:rsid w:val="42DB0B6D"/>
    <w:rsid w:val="42DE4B54"/>
    <w:rsid w:val="43014CE6"/>
    <w:rsid w:val="430375FA"/>
    <w:rsid w:val="43212C92"/>
    <w:rsid w:val="432B58BF"/>
    <w:rsid w:val="43370708"/>
    <w:rsid w:val="433F136A"/>
    <w:rsid w:val="43420014"/>
    <w:rsid w:val="434B5F61"/>
    <w:rsid w:val="434F15AD"/>
    <w:rsid w:val="436C4625"/>
    <w:rsid w:val="437A2EFB"/>
    <w:rsid w:val="43851473"/>
    <w:rsid w:val="43880F63"/>
    <w:rsid w:val="439711A6"/>
    <w:rsid w:val="43A64E60"/>
    <w:rsid w:val="43B94562"/>
    <w:rsid w:val="43C7511A"/>
    <w:rsid w:val="43C95E9E"/>
    <w:rsid w:val="43E8198E"/>
    <w:rsid w:val="43F72754"/>
    <w:rsid w:val="44000AFA"/>
    <w:rsid w:val="44024872"/>
    <w:rsid w:val="440707BE"/>
    <w:rsid w:val="441A7E0D"/>
    <w:rsid w:val="441E1394"/>
    <w:rsid w:val="441F74D9"/>
    <w:rsid w:val="44576FD6"/>
    <w:rsid w:val="44580936"/>
    <w:rsid w:val="44815226"/>
    <w:rsid w:val="44824916"/>
    <w:rsid w:val="44C24001"/>
    <w:rsid w:val="44C47D79"/>
    <w:rsid w:val="44C91285"/>
    <w:rsid w:val="44CB1108"/>
    <w:rsid w:val="44EB0880"/>
    <w:rsid w:val="450A4675"/>
    <w:rsid w:val="45120AE5"/>
    <w:rsid w:val="45190E9C"/>
    <w:rsid w:val="455B4F50"/>
    <w:rsid w:val="455C3B9E"/>
    <w:rsid w:val="456A643C"/>
    <w:rsid w:val="458D1E80"/>
    <w:rsid w:val="45B93656"/>
    <w:rsid w:val="45B96E33"/>
    <w:rsid w:val="45D70F11"/>
    <w:rsid w:val="45D872AB"/>
    <w:rsid w:val="45D95AA6"/>
    <w:rsid w:val="45D97AD0"/>
    <w:rsid w:val="45E317E8"/>
    <w:rsid w:val="45FB3C6E"/>
    <w:rsid w:val="46250CEB"/>
    <w:rsid w:val="463902F3"/>
    <w:rsid w:val="466C6EE9"/>
    <w:rsid w:val="469B2D5C"/>
    <w:rsid w:val="46B15857"/>
    <w:rsid w:val="46B77CAD"/>
    <w:rsid w:val="46CF005E"/>
    <w:rsid w:val="46E561B7"/>
    <w:rsid w:val="46FA2178"/>
    <w:rsid w:val="470B7EE1"/>
    <w:rsid w:val="471D1DD1"/>
    <w:rsid w:val="47226FD9"/>
    <w:rsid w:val="4755115C"/>
    <w:rsid w:val="475A2C17"/>
    <w:rsid w:val="47694C08"/>
    <w:rsid w:val="476E221E"/>
    <w:rsid w:val="476F0470"/>
    <w:rsid w:val="47800FD9"/>
    <w:rsid w:val="47AB19BB"/>
    <w:rsid w:val="47AD2D46"/>
    <w:rsid w:val="47B25E03"/>
    <w:rsid w:val="47BC59A5"/>
    <w:rsid w:val="47C3256A"/>
    <w:rsid w:val="47C41D2F"/>
    <w:rsid w:val="47C46FB6"/>
    <w:rsid w:val="47D94C06"/>
    <w:rsid w:val="47E2114A"/>
    <w:rsid w:val="47ED3A8B"/>
    <w:rsid w:val="47F6293F"/>
    <w:rsid w:val="481B494B"/>
    <w:rsid w:val="48563CF1"/>
    <w:rsid w:val="486D37FF"/>
    <w:rsid w:val="48741AB6"/>
    <w:rsid w:val="487877F8"/>
    <w:rsid w:val="488206B9"/>
    <w:rsid w:val="48934632"/>
    <w:rsid w:val="48961A2D"/>
    <w:rsid w:val="48A24875"/>
    <w:rsid w:val="48B85E47"/>
    <w:rsid w:val="49033566"/>
    <w:rsid w:val="490A67FA"/>
    <w:rsid w:val="49160200"/>
    <w:rsid w:val="49201276"/>
    <w:rsid w:val="494476DB"/>
    <w:rsid w:val="495E2C9C"/>
    <w:rsid w:val="49706564"/>
    <w:rsid w:val="49757894"/>
    <w:rsid w:val="49777AB0"/>
    <w:rsid w:val="49820D77"/>
    <w:rsid w:val="49E01BBF"/>
    <w:rsid w:val="49F66C27"/>
    <w:rsid w:val="49F92273"/>
    <w:rsid w:val="4A087E3D"/>
    <w:rsid w:val="4A0E3A0D"/>
    <w:rsid w:val="4A112191"/>
    <w:rsid w:val="4A153456"/>
    <w:rsid w:val="4A21377C"/>
    <w:rsid w:val="4A3911E2"/>
    <w:rsid w:val="4A396B13"/>
    <w:rsid w:val="4A4060F4"/>
    <w:rsid w:val="4A4C2CEB"/>
    <w:rsid w:val="4A565E14"/>
    <w:rsid w:val="4A805052"/>
    <w:rsid w:val="4A8A358A"/>
    <w:rsid w:val="4A8F0E29"/>
    <w:rsid w:val="4A94720E"/>
    <w:rsid w:val="4AB03279"/>
    <w:rsid w:val="4ABF221A"/>
    <w:rsid w:val="4AF313B8"/>
    <w:rsid w:val="4B074E64"/>
    <w:rsid w:val="4B15132F"/>
    <w:rsid w:val="4B1B0575"/>
    <w:rsid w:val="4B1C090F"/>
    <w:rsid w:val="4B204964"/>
    <w:rsid w:val="4B230EE9"/>
    <w:rsid w:val="4B2F37B9"/>
    <w:rsid w:val="4B385B9D"/>
    <w:rsid w:val="4B4973EB"/>
    <w:rsid w:val="4B524331"/>
    <w:rsid w:val="4B875532"/>
    <w:rsid w:val="4BB84D1D"/>
    <w:rsid w:val="4BBE3774"/>
    <w:rsid w:val="4BC02ABF"/>
    <w:rsid w:val="4BC21048"/>
    <w:rsid w:val="4BD24EC5"/>
    <w:rsid w:val="4BDA0208"/>
    <w:rsid w:val="4BEC7EE1"/>
    <w:rsid w:val="4BF65E2A"/>
    <w:rsid w:val="4BF67B15"/>
    <w:rsid w:val="4C03387D"/>
    <w:rsid w:val="4C3811A8"/>
    <w:rsid w:val="4C6360CA"/>
    <w:rsid w:val="4C714C8A"/>
    <w:rsid w:val="4C72455F"/>
    <w:rsid w:val="4C804ECE"/>
    <w:rsid w:val="4C9167D8"/>
    <w:rsid w:val="4CB132D9"/>
    <w:rsid w:val="4CB920D0"/>
    <w:rsid w:val="4CC24206"/>
    <w:rsid w:val="4CF71BA7"/>
    <w:rsid w:val="4CFD0936"/>
    <w:rsid w:val="4CFD651E"/>
    <w:rsid w:val="4D063625"/>
    <w:rsid w:val="4D221AE1"/>
    <w:rsid w:val="4D2B3D75"/>
    <w:rsid w:val="4D331F40"/>
    <w:rsid w:val="4D355CB8"/>
    <w:rsid w:val="4D3F08E5"/>
    <w:rsid w:val="4D434301"/>
    <w:rsid w:val="4D4C5F59"/>
    <w:rsid w:val="4D5B03FC"/>
    <w:rsid w:val="4D665E71"/>
    <w:rsid w:val="4D846C7E"/>
    <w:rsid w:val="4D924EB8"/>
    <w:rsid w:val="4D9407D5"/>
    <w:rsid w:val="4DBA440F"/>
    <w:rsid w:val="4DD21420"/>
    <w:rsid w:val="4DE4323A"/>
    <w:rsid w:val="4DE80F7C"/>
    <w:rsid w:val="4DE90850"/>
    <w:rsid w:val="4DEC404A"/>
    <w:rsid w:val="4DEF0791"/>
    <w:rsid w:val="4DF855AE"/>
    <w:rsid w:val="4E065E6C"/>
    <w:rsid w:val="4E0B2988"/>
    <w:rsid w:val="4E1F4272"/>
    <w:rsid w:val="4E224CE2"/>
    <w:rsid w:val="4E28581D"/>
    <w:rsid w:val="4E323096"/>
    <w:rsid w:val="4E482025"/>
    <w:rsid w:val="4E500A55"/>
    <w:rsid w:val="4E6E7F19"/>
    <w:rsid w:val="4E7740AE"/>
    <w:rsid w:val="4E7B3B9E"/>
    <w:rsid w:val="4E8C5DAC"/>
    <w:rsid w:val="4E8D742E"/>
    <w:rsid w:val="4E8F0679"/>
    <w:rsid w:val="4E8F13F8"/>
    <w:rsid w:val="4E9B53FE"/>
    <w:rsid w:val="4ECB3476"/>
    <w:rsid w:val="4ED4505D"/>
    <w:rsid w:val="4ED72AD1"/>
    <w:rsid w:val="4EFE2EB4"/>
    <w:rsid w:val="4F1F277C"/>
    <w:rsid w:val="4F2E690C"/>
    <w:rsid w:val="4F5C39D0"/>
    <w:rsid w:val="4F5D14F6"/>
    <w:rsid w:val="4F672DF9"/>
    <w:rsid w:val="4F74239C"/>
    <w:rsid w:val="4F7725B8"/>
    <w:rsid w:val="4F876573"/>
    <w:rsid w:val="4F8B0945"/>
    <w:rsid w:val="4F98252E"/>
    <w:rsid w:val="4F9842DC"/>
    <w:rsid w:val="4FD02446"/>
    <w:rsid w:val="5004208D"/>
    <w:rsid w:val="50067498"/>
    <w:rsid w:val="50074511"/>
    <w:rsid w:val="50096F88"/>
    <w:rsid w:val="501D7B7C"/>
    <w:rsid w:val="502162C8"/>
    <w:rsid w:val="502913D8"/>
    <w:rsid w:val="502B3F12"/>
    <w:rsid w:val="50373770"/>
    <w:rsid w:val="506643DA"/>
    <w:rsid w:val="506A6821"/>
    <w:rsid w:val="5070381D"/>
    <w:rsid w:val="507E7976"/>
    <w:rsid w:val="508520BA"/>
    <w:rsid w:val="508B5BEF"/>
    <w:rsid w:val="50BC3FFA"/>
    <w:rsid w:val="50C652F5"/>
    <w:rsid w:val="50ED0658"/>
    <w:rsid w:val="50ED2406"/>
    <w:rsid w:val="51126687"/>
    <w:rsid w:val="511B51C5"/>
    <w:rsid w:val="51281690"/>
    <w:rsid w:val="5137253D"/>
    <w:rsid w:val="513D338D"/>
    <w:rsid w:val="513F5357"/>
    <w:rsid w:val="514C5C89"/>
    <w:rsid w:val="51581F75"/>
    <w:rsid w:val="51597A9B"/>
    <w:rsid w:val="516A7EFA"/>
    <w:rsid w:val="51787590"/>
    <w:rsid w:val="51826FF2"/>
    <w:rsid w:val="519228EA"/>
    <w:rsid w:val="51B573C7"/>
    <w:rsid w:val="51B66C9C"/>
    <w:rsid w:val="51B82A14"/>
    <w:rsid w:val="51D94B20"/>
    <w:rsid w:val="51E732F9"/>
    <w:rsid w:val="51E93115"/>
    <w:rsid w:val="51F6353C"/>
    <w:rsid w:val="52043EAB"/>
    <w:rsid w:val="521E36BC"/>
    <w:rsid w:val="52397FF8"/>
    <w:rsid w:val="524B1ADA"/>
    <w:rsid w:val="52612413"/>
    <w:rsid w:val="52691F60"/>
    <w:rsid w:val="527252B8"/>
    <w:rsid w:val="52797870"/>
    <w:rsid w:val="528172AA"/>
    <w:rsid w:val="52895206"/>
    <w:rsid w:val="529139B0"/>
    <w:rsid w:val="529B6C53"/>
    <w:rsid w:val="52BE78BC"/>
    <w:rsid w:val="52FD1026"/>
    <w:rsid w:val="530879CB"/>
    <w:rsid w:val="531C0C1D"/>
    <w:rsid w:val="53202F66"/>
    <w:rsid w:val="53262886"/>
    <w:rsid w:val="532A7941"/>
    <w:rsid w:val="534053B7"/>
    <w:rsid w:val="53454385"/>
    <w:rsid w:val="534C5035"/>
    <w:rsid w:val="534D53DE"/>
    <w:rsid w:val="536A031F"/>
    <w:rsid w:val="536A5F90"/>
    <w:rsid w:val="53783938"/>
    <w:rsid w:val="53786589"/>
    <w:rsid w:val="538A5B0B"/>
    <w:rsid w:val="53916747"/>
    <w:rsid w:val="53A21BCD"/>
    <w:rsid w:val="53A56FC8"/>
    <w:rsid w:val="53A70F92"/>
    <w:rsid w:val="53D02297"/>
    <w:rsid w:val="53D35E4E"/>
    <w:rsid w:val="53D55AFF"/>
    <w:rsid w:val="54040192"/>
    <w:rsid w:val="540B7773"/>
    <w:rsid w:val="54184EBF"/>
    <w:rsid w:val="54414F42"/>
    <w:rsid w:val="544C4090"/>
    <w:rsid w:val="544E7800"/>
    <w:rsid w:val="545F7ABE"/>
    <w:rsid w:val="547A002D"/>
    <w:rsid w:val="547B2DBB"/>
    <w:rsid w:val="54892630"/>
    <w:rsid w:val="548968E9"/>
    <w:rsid w:val="549332C4"/>
    <w:rsid w:val="54A063D5"/>
    <w:rsid w:val="54A11E85"/>
    <w:rsid w:val="54A90BE4"/>
    <w:rsid w:val="54A93A37"/>
    <w:rsid w:val="54AE74AE"/>
    <w:rsid w:val="54D1276A"/>
    <w:rsid w:val="54DE3D0C"/>
    <w:rsid w:val="54DF6509"/>
    <w:rsid w:val="54EC75A4"/>
    <w:rsid w:val="54FE4BE1"/>
    <w:rsid w:val="553C395C"/>
    <w:rsid w:val="558C043F"/>
    <w:rsid w:val="55A5017F"/>
    <w:rsid w:val="55AE6607"/>
    <w:rsid w:val="55B01FEA"/>
    <w:rsid w:val="55B85376"/>
    <w:rsid w:val="55C349FB"/>
    <w:rsid w:val="55CA014A"/>
    <w:rsid w:val="55CB1251"/>
    <w:rsid w:val="55D6790C"/>
    <w:rsid w:val="55EC27F3"/>
    <w:rsid w:val="55F325B4"/>
    <w:rsid w:val="560426CB"/>
    <w:rsid w:val="56057D29"/>
    <w:rsid w:val="560B1CAC"/>
    <w:rsid w:val="560B558F"/>
    <w:rsid w:val="56226FF5"/>
    <w:rsid w:val="562C39D0"/>
    <w:rsid w:val="564231F4"/>
    <w:rsid w:val="564B20A8"/>
    <w:rsid w:val="56551179"/>
    <w:rsid w:val="565E3F02"/>
    <w:rsid w:val="56757E4E"/>
    <w:rsid w:val="569577C7"/>
    <w:rsid w:val="56A46336"/>
    <w:rsid w:val="56A63783"/>
    <w:rsid w:val="56E20EE6"/>
    <w:rsid w:val="56F52314"/>
    <w:rsid w:val="57203535"/>
    <w:rsid w:val="5745560C"/>
    <w:rsid w:val="574E6084"/>
    <w:rsid w:val="57581F3D"/>
    <w:rsid w:val="576378C6"/>
    <w:rsid w:val="576C677A"/>
    <w:rsid w:val="576D4F38"/>
    <w:rsid w:val="578C01F9"/>
    <w:rsid w:val="578E7486"/>
    <w:rsid w:val="57995095"/>
    <w:rsid w:val="57A557E8"/>
    <w:rsid w:val="57BB2CDC"/>
    <w:rsid w:val="57D25AD2"/>
    <w:rsid w:val="57E207EA"/>
    <w:rsid w:val="57EB09A3"/>
    <w:rsid w:val="57FD6D77"/>
    <w:rsid w:val="58014FDC"/>
    <w:rsid w:val="58022C3B"/>
    <w:rsid w:val="580764A3"/>
    <w:rsid w:val="580B5F93"/>
    <w:rsid w:val="580F7106"/>
    <w:rsid w:val="58134E48"/>
    <w:rsid w:val="583066AD"/>
    <w:rsid w:val="5842572D"/>
    <w:rsid w:val="58461A08"/>
    <w:rsid w:val="58550FBC"/>
    <w:rsid w:val="585A5DA8"/>
    <w:rsid w:val="586456A3"/>
    <w:rsid w:val="58690F0C"/>
    <w:rsid w:val="586C5DE9"/>
    <w:rsid w:val="586C7F5C"/>
    <w:rsid w:val="587F5ED0"/>
    <w:rsid w:val="58896EB8"/>
    <w:rsid w:val="58943172"/>
    <w:rsid w:val="58944EEC"/>
    <w:rsid w:val="58975A79"/>
    <w:rsid w:val="589A2E73"/>
    <w:rsid w:val="58AB6E2E"/>
    <w:rsid w:val="58AC0685"/>
    <w:rsid w:val="58C03568"/>
    <w:rsid w:val="58EC6C02"/>
    <w:rsid w:val="58FA7DB6"/>
    <w:rsid w:val="58FF53CC"/>
    <w:rsid w:val="59066BF0"/>
    <w:rsid w:val="590D594E"/>
    <w:rsid w:val="59264A99"/>
    <w:rsid w:val="592B6F0C"/>
    <w:rsid w:val="593F084E"/>
    <w:rsid w:val="594E3CA4"/>
    <w:rsid w:val="59701E26"/>
    <w:rsid w:val="597220FF"/>
    <w:rsid w:val="599C373B"/>
    <w:rsid w:val="59AC5554"/>
    <w:rsid w:val="59C664DB"/>
    <w:rsid w:val="59C7413C"/>
    <w:rsid w:val="59CB229F"/>
    <w:rsid w:val="59E62DCC"/>
    <w:rsid w:val="5A0F7891"/>
    <w:rsid w:val="5A1924BD"/>
    <w:rsid w:val="5A2055FA"/>
    <w:rsid w:val="5A2A0227"/>
    <w:rsid w:val="5A490FF5"/>
    <w:rsid w:val="5A494B51"/>
    <w:rsid w:val="5A7804B0"/>
    <w:rsid w:val="5A9B2ED2"/>
    <w:rsid w:val="5AA806DB"/>
    <w:rsid w:val="5ABA3CA0"/>
    <w:rsid w:val="5AE64A95"/>
    <w:rsid w:val="5AE655CF"/>
    <w:rsid w:val="5AEF1D60"/>
    <w:rsid w:val="5AF745AD"/>
    <w:rsid w:val="5AFB3D5F"/>
    <w:rsid w:val="5B13458A"/>
    <w:rsid w:val="5B136F0D"/>
    <w:rsid w:val="5B16746E"/>
    <w:rsid w:val="5B211D7B"/>
    <w:rsid w:val="5B2555BE"/>
    <w:rsid w:val="5B340A7D"/>
    <w:rsid w:val="5B3D561E"/>
    <w:rsid w:val="5B3E21DC"/>
    <w:rsid w:val="5B467A81"/>
    <w:rsid w:val="5B505E97"/>
    <w:rsid w:val="5B6A2FD1"/>
    <w:rsid w:val="5B7756EE"/>
    <w:rsid w:val="5B77749C"/>
    <w:rsid w:val="5B8816A9"/>
    <w:rsid w:val="5B886660"/>
    <w:rsid w:val="5B90055D"/>
    <w:rsid w:val="5B9C33A6"/>
    <w:rsid w:val="5BA42315"/>
    <w:rsid w:val="5BBB1A7E"/>
    <w:rsid w:val="5BBE50CA"/>
    <w:rsid w:val="5BE106D2"/>
    <w:rsid w:val="5BF04B8B"/>
    <w:rsid w:val="5BFA2973"/>
    <w:rsid w:val="5C0351D3"/>
    <w:rsid w:val="5C045110"/>
    <w:rsid w:val="5C0F3B78"/>
    <w:rsid w:val="5C164F06"/>
    <w:rsid w:val="5C213504"/>
    <w:rsid w:val="5C292E8C"/>
    <w:rsid w:val="5C3F26AF"/>
    <w:rsid w:val="5C5277C5"/>
    <w:rsid w:val="5C5D3B6B"/>
    <w:rsid w:val="5C5E240A"/>
    <w:rsid w:val="5C5F065B"/>
    <w:rsid w:val="5C5F4137"/>
    <w:rsid w:val="5C6A5160"/>
    <w:rsid w:val="5C6E089F"/>
    <w:rsid w:val="5C6E2BEE"/>
    <w:rsid w:val="5C71038F"/>
    <w:rsid w:val="5C853E3A"/>
    <w:rsid w:val="5C9B25EC"/>
    <w:rsid w:val="5CAD43EB"/>
    <w:rsid w:val="5CBD35D4"/>
    <w:rsid w:val="5CD7383E"/>
    <w:rsid w:val="5CE47462"/>
    <w:rsid w:val="5CE56B27"/>
    <w:rsid w:val="5D017965"/>
    <w:rsid w:val="5D020536"/>
    <w:rsid w:val="5D02548B"/>
    <w:rsid w:val="5D096819"/>
    <w:rsid w:val="5D192E96"/>
    <w:rsid w:val="5D211ED7"/>
    <w:rsid w:val="5D2C42B6"/>
    <w:rsid w:val="5D3E4715"/>
    <w:rsid w:val="5D4F67E4"/>
    <w:rsid w:val="5D595968"/>
    <w:rsid w:val="5D5F57A1"/>
    <w:rsid w:val="5D616655"/>
    <w:rsid w:val="5D683540"/>
    <w:rsid w:val="5D812854"/>
    <w:rsid w:val="5D845EA0"/>
    <w:rsid w:val="5DA17B65"/>
    <w:rsid w:val="5DE30E18"/>
    <w:rsid w:val="5DEB5F1F"/>
    <w:rsid w:val="5DF905A2"/>
    <w:rsid w:val="5DFE20F6"/>
    <w:rsid w:val="5E2558D5"/>
    <w:rsid w:val="5E282CCF"/>
    <w:rsid w:val="5E473A9D"/>
    <w:rsid w:val="5E4D2736"/>
    <w:rsid w:val="5E4E4E2C"/>
    <w:rsid w:val="5E4F2B5D"/>
    <w:rsid w:val="5E617CB0"/>
    <w:rsid w:val="5E6E102A"/>
    <w:rsid w:val="5E7D0589"/>
    <w:rsid w:val="5E7E7DF8"/>
    <w:rsid w:val="5E863C19"/>
    <w:rsid w:val="5E882FDD"/>
    <w:rsid w:val="5EA93E10"/>
    <w:rsid w:val="5EB0770A"/>
    <w:rsid w:val="5EB50A07"/>
    <w:rsid w:val="5EBA0139"/>
    <w:rsid w:val="5EBB3B43"/>
    <w:rsid w:val="5EBB787A"/>
    <w:rsid w:val="5EC0115A"/>
    <w:rsid w:val="5EDC2437"/>
    <w:rsid w:val="5EF34632"/>
    <w:rsid w:val="5F0A443C"/>
    <w:rsid w:val="5F116103"/>
    <w:rsid w:val="5F1A6ABC"/>
    <w:rsid w:val="5F4D50E3"/>
    <w:rsid w:val="5F6E6E08"/>
    <w:rsid w:val="5F7408C2"/>
    <w:rsid w:val="5F773FEC"/>
    <w:rsid w:val="5F8F02DC"/>
    <w:rsid w:val="5FA34D03"/>
    <w:rsid w:val="5FC05AB4"/>
    <w:rsid w:val="5FF06037"/>
    <w:rsid w:val="5FF27A39"/>
    <w:rsid w:val="601E2DD9"/>
    <w:rsid w:val="6051045C"/>
    <w:rsid w:val="605A5BF5"/>
    <w:rsid w:val="60607BEE"/>
    <w:rsid w:val="60710254"/>
    <w:rsid w:val="60730B79"/>
    <w:rsid w:val="607C6FD9"/>
    <w:rsid w:val="60830C9C"/>
    <w:rsid w:val="60A655A0"/>
    <w:rsid w:val="60AD570E"/>
    <w:rsid w:val="60B60A66"/>
    <w:rsid w:val="60C56EFB"/>
    <w:rsid w:val="60CA62C0"/>
    <w:rsid w:val="61054273"/>
    <w:rsid w:val="610A2B60"/>
    <w:rsid w:val="610C40A8"/>
    <w:rsid w:val="61131A15"/>
    <w:rsid w:val="611C3558"/>
    <w:rsid w:val="61236322"/>
    <w:rsid w:val="612802A0"/>
    <w:rsid w:val="612956DC"/>
    <w:rsid w:val="613B0F6B"/>
    <w:rsid w:val="614C3178"/>
    <w:rsid w:val="615A5895"/>
    <w:rsid w:val="615D7134"/>
    <w:rsid w:val="61693D2A"/>
    <w:rsid w:val="61774699"/>
    <w:rsid w:val="617A7CE6"/>
    <w:rsid w:val="61A06617"/>
    <w:rsid w:val="61A134C4"/>
    <w:rsid w:val="61C044BC"/>
    <w:rsid w:val="61CB387D"/>
    <w:rsid w:val="61CC3995"/>
    <w:rsid w:val="61D54F1C"/>
    <w:rsid w:val="62045801"/>
    <w:rsid w:val="621C0D9D"/>
    <w:rsid w:val="621E68C3"/>
    <w:rsid w:val="622639C9"/>
    <w:rsid w:val="622E5A24"/>
    <w:rsid w:val="62373E29"/>
    <w:rsid w:val="6247291B"/>
    <w:rsid w:val="624D53FA"/>
    <w:rsid w:val="624F1172"/>
    <w:rsid w:val="62614A02"/>
    <w:rsid w:val="627E55B4"/>
    <w:rsid w:val="6287090C"/>
    <w:rsid w:val="629E02F8"/>
    <w:rsid w:val="62A80882"/>
    <w:rsid w:val="62A91D74"/>
    <w:rsid w:val="62C15D22"/>
    <w:rsid w:val="62C51434"/>
    <w:rsid w:val="62D6719E"/>
    <w:rsid w:val="62D96C8E"/>
    <w:rsid w:val="62E55F01"/>
    <w:rsid w:val="62FA57F3"/>
    <w:rsid w:val="62FE04A2"/>
    <w:rsid w:val="63043DDA"/>
    <w:rsid w:val="632366B5"/>
    <w:rsid w:val="634405AB"/>
    <w:rsid w:val="63464323"/>
    <w:rsid w:val="63556314"/>
    <w:rsid w:val="6359047D"/>
    <w:rsid w:val="635A7DCF"/>
    <w:rsid w:val="635E10C5"/>
    <w:rsid w:val="637F1B3E"/>
    <w:rsid w:val="638906B4"/>
    <w:rsid w:val="63A30889"/>
    <w:rsid w:val="63A63277"/>
    <w:rsid w:val="63C129F5"/>
    <w:rsid w:val="63C17E4E"/>
    <w:rsid w:val="63CF3EC7"/>
    <w:rsid w:val="63E41600"/>
    <w:rsid w:val="63E9766D"/>
    <w:rsid w:val="6401024A"/>
    <w:rsid w:val="6426222E"/>
    <w:rsid w:val="64281C7B"/>
    <w:rsid w:val="643C514B"/>
    <w:rsid w:val="644859BF"/>
    <w:rsid w:val="64487C27"/>
    <w:rsid w:val="64524F4A"/>
    <w:rsid w:val="64540CC2"/>
    <w:rsid w:val="646543F2"/>
    <w:rsid w:val="648C220A"/>
    <w:rsid w:val="64962DF0"/>
    <w:rsid w:val="64AF414A"/>
    <w:rsid w:val="64C9520C"/>
    <w:rsid w:val="64DD2B95"/>
    <w:rsid w:val="64E32C14"/>
    <w:rsid w:val="64F41B5D"/>
    <w:rsid w:val="65257F68"/>
    <w:rsid w:val="652C7549"/>
    <w:rsid w:val="65546448"/>
    <w:rsid w:val="656D7E7E"/>
    <w:rsid w:val="658B24C1"/>
    <w:rsid w:val="658C3123"/>
    <w:rsid w:val="6590186B"/>
    <w:rsid w:val="659F5F7F"/>
    <w:rsid w:val="65B064EC"/>
    <w:rsid w:val="65B067EB"/>
    <w:rsid w:val="65BD6CAD"/>
    <w:rsid w:val="65C05C30"/>
    <w:rsid w:val="65DA51F7"/>
    <w:rsid w:val="65DD7EF7"/>
    <w:rsid w:val="65E2373C"/>
    <w:rsid w:val="65F55B8D"/>
    <w:rsid w:val="660A0E3D"/>
    <w:rsid w:val="661E3335"/>
    <w:rsid w:val="662D3578"/>
    <w:rsid w:val="66303069"/>
    <w:rsid w:val="663743F7"/>
    <w:rsid w:val="66566A29"/>
    <w:rsid w:val="66630D48"/>
    <w:rsid w:val="66650F64"/>
    <w:rsid w:val="666B5E4F"/>
    <w:rsid w:val="667016B7"/>
    <w:rsid w:val="66707277"/>
    <w:rsid w:val="66932979"/>
    <w:rsid w:val="66A30C78"/>
    <w:rsid w:val="66A870A3"/>
    <w:rsid w:val="66BA1B4C"/>
    <w:rsid w:val="66C0263F"/>
    <w:rsid w:val="66C51A03"/>
    <w:rsid w:val="66C7577B"/>
    <w:rsid w:val="66D71736"/>
    <w:rsid w:val="66DB1226"/>
    <w:rsid w:val="66EA76BB"/>
    <w:rsid w:val="66ED0993"/>
    <w:rsid w:val="66F978FF"/>
    <w:rsid w:val="670F7122"/>
    <w:rsid w:val="6712451C"/>
    <w:rsid w:val="672B2FA8"/>
    <w:rsid w:val="67341DE3"/>
    <w:rsid w:val="67367361"/>
    <w:rsid w:val="673813DF"/>
    <w:rsid w:val="675E59B4"/>
    <w:rsid w:val="676A6106"/>
    <w:rsid w:val="67732727"/>
    <w:rsid w:val="677E6A34"/>
    <w:rsid w:val="677F5616"/>
    <w:rsid w:val="679A4C3E"/>
    <w:rsid w:val="679E1ED8"/>
    <w:rsid w:val="67A21D44"/>
    <w:rsid w:val="67AC4A3F"/>
    <w:rsid w:val="67B83316"/>
    <w:rsid w:val="67CC0B6F"/>
    <w:rsid w:val="67CD10F0"/>
    <w:rsid w:val="67FE26DF"/>
    <w:rsid w:val="680E6F0D"/>
    <w:rsid w:val="68152516"/>
    <w:rsid w:val="68220526"/>
    <w:rsid w:val="683A5AB8"/>
    <w:rsid w:val="68466B73"/>
    <w:rsid w:val="6848469A"/>
    <w:rsid w:val="68534DEC"/>
    <w:rsid w:val="685F19E3"/>
    <w:rsid w:val="686139AD"/>
    <w:rsid w:val="68617509"/>
    <w:rsid w:val="68633281"/>
    <w:rsid w:val="68662265"/>
    <w:rsid w:val="68692862"/>
    <w:rsid w:val="686D0040"/>
    <w:rsid w:val="686F7E78"/>
    <w:rsid w:val="687236A5"/>
    <w:rsid w:val="687300B7"/>
    <w:rsid w:val="688356D2"/>
    <w:rsid w:val="688E58B4"/>
    <w:rsid w:val="68907628"/>
    <w:rsid w:val="68993147"/>
    <w:rsid w:val="68BC068D"/>
    <w:rsid w:val="68C26F73"/>
    <w:rsid w:val="68C648A5"/>
    <w:rsid w:val="68E1689C"/>
    <w:rsid w:val="69012A9A"/>
    <w:rsid w:val="69026F3E"/>
    <w:rsid w:val="690802CD"/>
    <w:rsid w:val="69124CA8"/>
    <w:rsid w:val="69140A20"/>
    <w:rsid w:val="692F13B6"/>
    <w:rsid w:val="69336C29"/>
    <w:rsid w:val="695157D0"/>
    <w:rsid w:val="695169A2"/>
    <w:rsid w:val="696279DD"/>
    <w:rsid w:val="69717C20"/>
    <w:rsid w:val="69747710"/>
    <w:rsid w:val="69824612"/>
    <w:rsid w:val="69924B30"/>
    <w:rsid w:val="69A143EA"/>
    <w:rsid w:val="69A91168"/>
    <w:rsid w:val="69AE2C22"/>
    <w:rsid w:val="69BB533F"/>
    <w:rsid w:val="69CA3FC5"/>
    <w:rsid w:val="69E5416A"/>
    <w:rsid w:val="69F820EF"/>
    <w:rsid w:val="69FA7C16"/>
    <w:rsid w:val="6A2B7DCF"/>
    <w:rsid w:val="6A301889"/>
    <w:rsid w:val="6A36153B"/>
    <w:rsid w:val="6A503A38"/>
    <w:rsid w:val="6A5437CA"/>
    <w:rsid w:val="6A610497"/>
    <w:rsid w:val="6A6B4106"/>
    <w:rsid w:val="6A873200"/>
    <w:rsid w:val="6A935974"/>
    <w:rsid w:val="6AA46BEA"/>
    <w:rsid w:val="6AA47B81"/>
    <w:rsid w:val="6AAB7162"/>
    <w:rsid w:val="6AB149CC"/>
    <w:rsid w:val="6ABE0C43"/>
    <w:rsid w:val="6AC163D4"/>
    <w:rsid w:val="6ACF4A05"/>
    <w:rsid w:val="6AF91C7B"/>
    <w:rsid w:val="6AFC66FE"/>
    <w:rsid w:val="6B0F76F1"/>
    <w:rsid w:val="6B1040A3"/>
    <w:rsid w:val="6B15282D"/>
    <w:rsid w:val="6B187DBB"/>
    <w:rsid w:val="6B2976F6"/>
    <w:rsid w:val="6B2C4D68"/>
    <w:rsid w:val="6B391612"/>
    <w:rsid w:val="6B3B4847"/>
    <w:rsid w:val="6B4436A1"/>
    <w:rsid w:val="6B730171"/>
    <w:rsid w:val="6B792DBC"/>
    <w:rsid w:val="6BA47B5E"/>
    <w:rsid w:val="6BB42046"/>
    <w:rsid w:val="6BBA58AE"/>
    <w:rsid w:val="6BBD1C16"/>
    <w:rsid w:val="6BF012D0"/>
    <w:rsid w:val="6BFD341F"/>
    <w:rsid w:val="6C470C89"/>
    <w:rsid w:val="6C5531CA"/>
    <w:rsid w:val="6C5623B7"/>
    <w:rsid w:val="6C5D26DE"/>
    <w:rsid w:val="6C6770B8"/>
    <w:rsid w:val="6C7A3B4E"/>
    <w:rsid w:val="6C8D5D90"/>
    <w:rsid w:val="6C991968"/>
    <w:rsid w:val="6C9E34C4"/>
    <w:rsid w:val="6CA14B91"/>
    <w:rsid w:val="6CD2014D"/>
    <w:rsid w:val="6CE34991"/>
    <w:rsid w:val="6CEF77DA"/>
    <w:rsid w:val="6CF22212"/>
    <w:rsid w:val="6CF90658"/>
    <w:rsid w:val="6D0019E7"/>
    <w:rsid w:val="6D0C0FA2"/>
    <w:rsid w:val="6D173470"/>
    <w:rsid w:val="6D1A412B"/>
    <w:rsid w:val="6D1C60F5"/>
    <w:rsid w:val="6D266F73"/>
    <w:rsid w:val="6D2C3903"/>
    <w:rsid w:val="6D34312C"/>
    <w:rsid w:val="6D45389E"/>
    <w:rsid w:val="6D594C53"/>
    <w:rsid w:val="6D76452E"/>
    <w:rsid w:val="6DBC71E0"/>
    <w:rsid w:val="6DE20459"/>
    <w:rsid w:val="6DED0D0B"/>
    <w:rsid w:val="6DFB5D0A"/>
    <w:rsid w:val="6E027099"/>
    <w:rsid w:val="6E0D360D"/>
    <w:rsid w:val="6E2D6BEB"/>
    <w:rsid w:val="6E331948"/>
    <w:rsid w:val="6E4D12C0"/>
    <w:rsid w:val="6E7764B9"/>
    <w:rsid w:val="6E813CA0"/>
    <w:rsid w:val="6E95615F"/>
    <w:rsid w:val="6EB70CD9"/>
    <w:rsid w:val="6EBF31DC"/>
    <w:rsid w:val="6EC01157"/>
    <w:rsid w:val="6ECB392F"/>
    <w:rsid w:val="6ECF6535"/>
    <w:rsid w:val="6EDE59A6"/>
    <w:rsid w:val="6F092654"/>
    <w:rsid w:val="6F265009"/>
    <w:rsid w:val="6F3237D5"/>
    <w:rsid w:val="6F347726"/>
    <w:rsid w:val="6F5002D8"/>
    <w:rsid w:val="6F6873CF"/>
    <w:rsid w:val="6F6D0E8A"/>
    <w:rsid w:val="6F7044D6"/>
    <w:rsid w:val="6F72024E"/>
    <w:rsid w:val="6F8C08FB"/>
    <w:rsid w:val="6FA467B9"/>
    <w:rsid w:val="6FA81EC2"/>
    <w:rsid w:val="6FCA62DC"/>
    <w:rsid w:val="6FCF38F2"/>
    <w:rsid w:val="6FD1766A"/>
    <w:rsid w:val="6FEB4ACA"/>
    <w:rsid w:val="6FEC3BAD"/>
    <w:rsid w:val="70001CFE"/>
    <w:rsid w:val="70161521"/>
    <w:rsid w:val="70234260"/>
    <w:rsid w:val="70291255"/>
    <w:rsid w:val="70453BB5"/>
    <w:rsid w:val="70497201"/>
    <w:rsid w:val="705362D1"/>
    <w:rsid w:val="705975D4"/>
    <w:rsid w:val="70657DB3"/>
    <w:rsid w:val="706933FF"/>
    <w:rsid w:val="70714867"/>
    <w:rsid w:val="708C17E3"/>
    <w:rsid w:val="70986263"/>
    <w:rsid w:val="709C1A26"/>
    <w:rsid w:val="70A15CD9"/>
    <w:rsid w:val="70A703CB"/>
    <w:rsid w:val="70B53555"/>
    <w:rsid w:val="70B82F84"/>
    <w:rsid w:val="70C40F7D"/>
    <w:rsid w:val="70C6795A"/>
    <w:rsid w:val="70DF5DB7"/>
    <w:rsid w:val="70F62F16"/>
    <w:rsid w:val="70FE4F61"/>
    <w:rsid w:val="71025602"/>
    <w:rsid w:val="71143263"/>
    <w:rsid w:val="714125CE"/>
    <w:rsid w:val="714E4B66"/>
    <w:rsid w:val="71597917"/>
    <w:rsid w:val="71630796"/>
    <w:rsid w:val="717C7162"/>
    <w:rsid w:val="718030F6"/>
    <w:rsid w:val="718B3849"/>
    <w:rsid w:val="719764F7"/>
    <w:rsid w:val="71991D6D"/>
    <w:rsid w:val="722F25A2"/>
    <w:rsid w:val="72356ABA"/>
    <w:rsid w:val="7238100F"/>
    <w:rsid w:val="72404633"/>
    <w:rsid w:val="72523709"/>
    <w:rsid w:val="72525510"/>
    <w:rsid w:val="72965B0C"/>
    <w:rsid w:val="72AE5A41"/>
    <w:rsid w:val="72AE77EF"/>
    <w:rsid w:val="72C11480"/>
    <w:rsid w:val="72E651DB"/>
    <w:rsid w:val="72F53670"/>
    <w:rsid w:val="72F62F44"/>
    <w:rsid w:val="730C532F"/>
    <w:rsid w:val="73194139"/>
    <w:rsid w:val="732E0DFE"/>
    <w:rsid w:val="73334198"/>
    <w:rsid w:val="73337CF4"/>
    <w:rsid w:val="73351CBE"/>
    <w:rsid w:val="73397A01"/>
    <w:rsid w:val="734737A0"/>
    <w:rsid w:val="73490DFC"/>
    <w:rsid w:val="73634A7D"/>
    <w:rsid w:val="73697BBA"/>
    <w:rsid w:val="73776193"/>
    <w:rsid w:val="73920EBF"/>
    <w:rsid w:val="73974727"/>
    <w:rsid w:val="73B24009"/>
    <w:rsid w:val="73B928EF"/>
    <w:rsid w:val="73EE7DFD"/>
    <w:rsid w:val="73F70DBD"/>
    <w:rsid w:val="7400051E"/>
    <w:rsid w:val="74026044"/>
    <w:rsid w:val="740875C8"/>
    <w:rsid w:val="740A314B"/>
    <w:rsid w:val="74125515"/>
    <w:rsid w:val="74130252"/>
    <w:rsid w:val="74213FF1"/>
    <w:rsid w:val="74227BFF"/>
    <w:rsid w:val="7426492D"/>
    <w:rsid w:val="74681C20"/>
    <w:rsid w:val="7469779F"/>
    <w:rsid w:val="747170F6"/>
    <w:rsid w:val="747A35F5"/>
    <w:rsid w:val="74850A24"/>
    <w:rsid w:val="749F0574"/>
    <w:rsid w:val="74B11819"/>
    <w:rsid w:val="74B539B1"/>
    <w:rsid w:val="74B65081"/>
    <w:rsid w:val="74C956FA"/>
    <w:rsid w:val="74CB28DA"/>
    <w:rsid w:val="74CE4179"/>
    <w:rsid w:val="74D443BA"/>
    <w:rsid w:val="74E2064C"/>
    <w:rsid w:val="74E7348C"/>
    <w:rsid w:val="74ED2741"/>
    <w:rsid w:val="74EE7C94"/>
    <w:rsid w:val="74FD4A5E"/>
    <w:rsid w:val="74FF6D3B"/>
    <w:rsid w:val="75224C45"/>
    <w:rsid w:val="75226272"/>
    <w:rsid w:val="752477A4"/>
    <w:rsid w:val="75363ACC"/>
    <w:rsid w:val="753C7334"/>
    <w:rsid w:val="75436915"/>
    <w:rsid w:val="75466405"/>
    <w:rsid w:val="754B468E"/>
    <w:rsid w:val="756D67D4"/>
    <w:rsid w:val="759E2105"/>
    <w:rsid w:val="75AD70BD"/>
    <w:rsid w:val="75C944B2"/>
    <w:rsid w:val="75CD61DE"/>
    <w:rsid w:val="75D457BF"/>
    <w:rsid w:val="75E17EDC"/>
    <w:rsid w:val="75E35A02"/>
    <w:rsid w:val="75E84028"/>
    <w:rsid w:val="75EB2B08"/>
    <w:rsid w:val="75F455A4"/>
    <w:rsid w:val="761839F2"/>
    <w:rsid w:val="761D53B8"/>
    <w:rsid w:val="762D698D"/>
    <w:rsid w:val="762E7A87"/>
    <w:rsid w:val="76360227"/>
    <w:rsid w:val="7659339C"/>
    <w:rsid w:val="76634D94"/>
    <w:rsid w:val="767932D4"/>
    <w:rsid w:val="7681456A"/>
    <w:rsid w:val="768C42EB"/>
    <w:rsid w:val="768F16E6"/>
    <w:rsid w:val="76A21419"/>
    <w:rsid w:val="76B347C6"/>
    <w:rsid w:val="76C021E7"/>
    <w:rsid w:val="76C27D0D"/>
    <w:rsid w:val="76C60D78"/>
    <w:rsid w:val="76D907CB"/>
    <w:rsid w:val="76DD06A3"/>
    <w:rsid w:val="76DD68F5"/>
    <w:rsid w:val="76E85840"/>
    <w:rsid w:val="76E934EC"/>
    <w:rsid w:val="77003D79"/>
    <w:rsid w:val="77044E51"/>
    <w:rsid w:val="7710635E"/>
    <w:rsid w:val="77163BB5"/>
    <w:rsid w:val="77440D18"/>
    <w:rsid w:val="77470212"/>
    <w:rsid w:val="774F0701"/>
    <w:rsid w:val="775B5A6C"/>
    <w:rsid w:val="775D1990"/>
    <w:rsid w:val="7763329E"/>
    <w:rsid w:val="779C67B0"/>
    <w:rsid w:val="77AE3DED"/>
    <w:rsid w:val="77AF64E3"/>
    <w:rsid w:val="77C16217"/>
    <w:rsid w:val="77CE7FA8"/>
    <w:rsid w:val="77DD0FBC"/>
    <w:rsid w:val="78000AED"/>
    <w:rsid w:val="78051D93"/>
    <w:rsid w:val="78062419"/>
    <w:rsid w:val="780D398B"/>
    <w:rsid w:val="780F5B42"/>
    <w:rsid w:val="78160310"/>
    <w:rsid w:val="78280044"/>
    <w:rsid w:val="782A2065"/>
    <w:rsid w:val="78385EB9"/>
    <w:rsid w:val="785E75C1"/>
    <w:rsid w:val="78632E2A"/>
    <w:rsid w:val="7866167A"/>
    <w:rsid w:val="7867153C"/>
    <w:rsid w:val="786A065C"/>
    <w:rsid w:val="788235D2"/>
    <w:rsid w:val="788F00C3"/>
    <w:rsid w:val="78941235"/>
    <w:rsid w:val="78AC2A23"/>
    <w:rsid w:val="78EC66BE"/>
    <w:rsid w:val="78EE303B"/>
    <w:rsid w:val="78F13029"/>
    <w:rsid w:val="78F16688"/>
    <w:rsid w:val="79022643"/>
    <w:rsid w:val="79030169"/>
    <w:rsid w:val="790C1713"/>
    <w:rsid w:val="791505C8"/>
    <w:rsid w:val="791D747D"/>
    <w:rsid w:val="79246A5D"/>
    <w:rsid w:val="792627D5"/>
    <w:rsid w:val="792A3948"/>
    <w:rsid w:val="793230B0"/>
    <w:rsid w:val="79490272"/>
    <w:rsid w:val="794F33AE"/>
    <w:rsid w:val="795310F0"/>
    <w:rsid w:val="796C7E7C"/>
    <w:rsid w:val="799A287B"/>
    <w:rsid w:val="79B36250"/>
    <w:rsid w:val="79B91FC2"/>
    <w:rsid w:val="79D47778"/>
    <w:rsid w:val="79DD64E9"/>
    <w:rsid w:val="79DD6FC0"/>
    <w:rsid w:val="79E65AC0"/>
    <w:rsid w:val="79E67C95"/>
    <w:rsid w:val="79EB1329"/>
    <w:rsid w:val="79F02614"/>
    <w:rsid w:val="79F73798"/>
    <w:rsid w:val="7A0B19CB"/>
    <w:rsid w:val="7A394769"/>
    <w:rsid w:val="7A3F3423"/>
    <w:rsid w:val="7A433A27"/>
    <w:rsid w:val="7A4B5713"/>
    <w:rsid w:val="7A4E2A78"/>
    <w:rsid w:val="7A5213A8"/>
    <w:rsid w:val="7A521D45"/>
    <w:rsid w:val="7A861051"/>
    <w:rsid w:val="7A923E9A"/>
    <w:rsid w:val="7AA24B7A"/>
    <w:rsid w:val="7AA97E33"/>
    <w:rsid w:val="7AB026C8"/>
    <w:rsid w:val="7AB61937"/>
    <w:rsid w:val="7ABB6F4D"/>
    <w:rsid w:val="7AC676A0"/>
    <w:rsid w:val="7ACD06B3"/>
    <w:rsid w:val="7AD41DBD"/>
    <w:rsid w:val="7AE03118"/>
    <w:rsid w:val="7AEE662E"/>
    <w:rsid w:val="7AF91948"/>
    <w:rsid w:val="7B1228E5"/>
    <w:rsid w:val="7B1D3764"/>
    <w:rsid w:val="7B233016"/>
    <w:rsid w:val="7B407452"/>
    <w:rsid w:val="7B5A6766"/>
    <w:rsid w:val="7B640C48"/>
    <w:rsid w:val="7B95154C"/>
    <w:rsid w:val="7B95779E"/>
    <w:rsid w:val="7B9720CA"/>
    <w:rsid w:val="7B9B0B2D"/>
    <w:rsid w:val="7BA14395"/>
    <w:rsid w:val="7BA3041D"/>
    <w:rsid w:val="7BB120FE"/>
    <w:rsid w:val="7BBC2F7D"/>
    <w:rsid w:val="7BBC6228"/>
    <w:rsid w:val="7BD007D6"/>
    <w:rsid w:val="7BE75229"/>
    <w:rsid w:val="7BF232C1"/>
    <w:rsid w:val="7BFC5A6F"/>
    <w:rsid w:val="7C036DFE"/>
    <w:rsid w:val="7C1F5E30"/>
    <w:rsid w:val="7C2C4136"/>
    <w:rsid w:val="7C305BA7"/>
    <w:rsid w:val="7C386655"/>
    <w:rsid w:val="7C473D2C"/>
    <w:rsid w:val="7C890A45"/>
    <w:rsid w:val="7C8A4E29"/>
    <w:rsid w:val="7C950E2A"/>
    <w:rsid w:val="7CC3267D"/>
    <w:rsid w:val="7CD6006E"/>
    <w:rsid w:val="7CD61D00"/>
    <w:rsid w:val="7CDA42C0"/>
    <w:rsid w:val="7CDE5175"/>
    <w:rsid w:val="7CEC7892"/>
    <w:rsid w:val="7CED360A"/>
    <w:rsid w:val="7D184638"/>
    <w:rsid w:val="7D197F5B"/>
    <w:rsid w:val="7D2C704B"/>
    <w:rsid w:val="7D342FE7"/>
    <w:rsid w:val="7D4A7AD1"/>
    <w:rsid w:val="7D4C20DE"/>
    <w:rsid w:val="7D5D0060"/>
    <w:rsid w:val="7D675030"/>
    <w:rsid w:val="7D9176B5"/>
    <w:rsid w:val="7D993264"/>
    <w:rsid w:val="7D9F168F"/>
    <w:rsid w:val="7DA74661"/>
    <w:rsid w:val="7DC510A3"/>
    <w:rsid w:val="7DCA1DA6"/>
    <w:rsid w:val="7DCA5929"/>
    <w:rsid w:val="7DE6133B"/>
    <w:rsid w:val="7DF6029C"/>
    <w:rsid w:val="7E2E5C88"/>
    <w:rsid w:val="7E332C6B"/>
    <w:rsid w:val="7E3B23F9"/>
    <w:rsid w:val="7E3E236F"/>
    <w:rsid w:val="7E4B4A8C"/>
    <w:rsid w:val="7E4F3A88"/>
    <w:rsid w:val="7E7538B7"/>
    <w:rsid w:val="7E796C98"/>
    <w:rsid w:val="7E941F8F"/>
    <w:rsid w:val="7E971A7F"/>
    <w:rsid w:val="7EBB39C0"/>
    <w:rsid w:val="7ED71E7C"/>
    <w:rsid w:val="7ED93FC3"/>
    <w:rsid w:val="7F1A5958"/>
    <w:rsid w:val="7F2A28F3"/>
    <w:rsid w:val="7F2F5EDE"/>
    <w:rsid w:val="7F3B065C"/>
    <w:rsid w:val="7F52206C"/>
    <w:rsid w:val="7F791185"/>
    <w:rsid w:val="7F794CE1"/>
    <w:rsid w:val="7F7E1911"/>
    <w:rsid w:val="7FAD5E56"/>
    <w:rsid w:val="7FD14B1D"/>
    <w:rsid w:val="7FD55ED7"/>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3"/>
    <w:qFormat/>
    <w:uiPriority w:val="0"/>
    <w:pPr>
      <w:spacing w:line="579" w:lineRule="exact"/>
      <w:ind w:firstLine="640" w:firstLineChars="200"/>
    </w:pPr>
    <w:rPr>
      <w:rFonts w:ascii="Calibri" w:cs="Times New Roman"/>
    </w:rPr>
  </w:style>
  <w:style w:type="paragraph" w:customStyle="1" w:styleId="3">
    <w:name w:val="正文1"/>
    <w:basedOn w:val="1"/>
    <w:qFormat/>
    <w:uiPriority w:val="0"/>
    <w:pPr>
      <w:ind w:firstLine="708" w:firstLineChars="236"/>
    </w:pPr>
    <w:rPr>
      <w:rFonts w:ascii="仿宋_GB2312" w:cs="仿宋_GB2312"/>
      <w:sz w:val="30"/>
      <w:szCs w:val="30"/>
    </w:rPr>
  </w:style>
  <w:style w:type="paragraph" w:styleId="5">
    <w:name w:val="annotation text"/>
    <w:basedOn w:val="1"/>
    <w:link w:val="22"/>
    <w:unhideWhenUsed/>
    <w:qFormat/>
    <w:uiPriority w:val="99"/>
    <w:pPr>
      <w:jc w:val="left"/>
    </w:pPr>
  </w:style>
  <w:style w:type="paragraph" w:styleId="6">
    <w:name w:val="Body Text Indent"/>
    <w:basedOn w:val="1"/>
    <w:qFormat/>
    <w:uiPriority w:val="0"/>
    <w:pPr>
      <w:spacing w:line="600" w:lineRule="exact"/>
      <w:ind w:firstLine="600"/>
    </w:pPr>
    <w:rPr>
      <w:sz w:val="31"/>
    </w:rPr>
  </w:style>
  <w:style w:type="paragraph" w:styleId="7">
    <w:name w:val="Balloon Text"/>
    <w:basedOn w:val="1"/>
    <w:link w:val="24"/>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footnote text"/>
    <w:basedOn w:val="1"/>
    <w:qFormat/>
    <w:uiPriority w:val="0"/>
    <w:pPr>
      <w:snapToGrid w:val="0"/>
      <w:jc w:val="left"/>
    </w:pPr>
    <w:rPr>
      <w:sz w:val="18"/>
    </w:rPr>
  </w:style>
  <w:style w:type="paragraph" w:styleId="11">
    <w:name w:val="Body Text 2"/>
    <w:basedOn w:val="1"/>
    <w:next w:val="12"/>
    <w:qFormat/>
    <w:uiPriority w:val="0"/>
    <w:pPr>
      <w:ind w:firstLine="1840"/>
    </w:pPr>
  </w:style>
  <w:style w:type="paragraph" w:styleId="12">
    <w:name w:val="Body Text First Indent 2"/>
    <w:basedOn w:val="6"/>
    <w:next w:val="1"/>
    <w:qFormat/>
    <w:uiPriority w:val="0"/>
    <w:pPr>
      <w:ind w:firstLine="420"/>
    </w:pPr>
    <w:rPr>
      <w:sz w:val="32"/>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annotation subject"/>
    <w:basedOn w:val="5"/>
    <w:next w:val="5"/>
    <w:link w:val="23"/>
    <w:qFormat/>
    <w:uiPriority w:val="0"/>
    <w:rPr>
      <w:b/>
      <w:bCs/>
    </w:rPr>
  </w:style>
  <w:style w:type="character" w:styleId="17">
    <w:name w:val="Strong"/>
    <w:basedOn w:val="16"/>
    <w:qFormat/>
    <w:uiPriority w:val="22"/>
    <w:rPr>
      <w:b/>
    </w:rPr>
  </w:style>
  <w:style w:type="character" w:styleId="18">
    <w:name w:val="annotation reference"/>
    <w:basedOn w:val="16"/>
    <w:semiHidden/>
    <w:unhideWhenUsed/>
    <w:qFormat/>
    <w:uiPriority w:val="99"/>
    <w:rPr>
      <w:sz w:val="21"/>
      <w:szCs w:val="21"/>
    </w:rPr>
  </w:style>
  <w:style w:type="character" w:styleId="19">
    <w:name w:val="footnote reference"/>
    <w:basedOn w:val="16"/>
    <w:qFormat/>
    <w:uiPriority w:val="0"/>
    <w:rPr>
      <w:vertAlign w:val="superscript"/>
    </w:rPr>
  </w:style>
  <w:style w:type="character" w:customStyle="1" w:styleId="20">
    <w:name w:val="页眉 字符"/>
    <w:basedOn w:val="16"/>
    <w:link w:val="9"/>
    <w:qFormat/>
    <w:uiPriority w:val="0"/>
    <w:rPr>
      <w:rFonts w:asciiTheme="minorHAnsi" w:hAnsiTheme="minorHAnsi" w:eastAsiaTheme="minorEastAsia" w:cstheme="minorBidi"/>
      <w:kern w:val="2"/>
      <w:sz w:val="18"/>
      <w:szCs w:val="18"/>
      <w14:ligatures w14:val="standardContextual"/>
    </w:rPr>
  </w:style>
  <w:style w:type="character" w:customStyle="1" w:styleId="21">
    <w:name w:val="页脚 字符"/>
    <w:basedOn w:val="16"/>
    <w:link w:val="8"/>
    <w:qFormat/>
    <w:uiPriority w:val="0"/>
    <w:rPr>
      <w:rFonts w:asciiTheme="minorHAnsi" w:hAnsiTheme="minorHAnsi" w:eastAsiaTheme="minorEastAsia" w:cstheme="minorBidi"/>
      <w:kern w:val="2"/>
      <w:sz w:val="18"/>
      <w:szCs w:val="18"/>
      <w14:ligatures w14:val="standardContextual"/>
    </w:rPr>
  </w:style>
  <w:style w:type="character" w:customStyle="1" w:styleId="22">
    <w:name w:val="批注文字 字符"/>
    <w:basedOn w:val="16"/>
    <w:link w:val="5"/>
    <w:qFormat/>
    <w:uiPriority w:val="99"/>
    <w:rPr>
      <w:rFonts w:asciiTheme="minorHAnsi" w:hAnsiTheme="minorHAnsi" w:eastAsiaTheme="minorEastAsia" w:cstheme="minorBidi"/>
      <w:kern w:val="2"/>
      <w:sz w:val="21"/>
      <w:szCs w:val="22"/>
      <w14:ligatures w14:val="standardContextual"/>
    </w:rPr>
  </w:style>
  <w:style w:type="character" w:customStyle="1" w:styleId="23">
    <w:name w:val="批注主题 字符"/>
    <w:basedOn w:val="22"/>
    <w:link w:val="14"/>
    <w:qFormat/>
    <w:uiPriority w:val="0"/>
    <w:rPr>
      <w:rFonts w:asciiTheme="minorHAnsi" w:hAnsiTheme="minorHAnsi" w:eastAsiaTheme="minorEastAsia" w:cstheme="minorBidi"/>
      <w:b/>
      <w:bCs/>
      <w:kern w:val="2"/>
      <w:sz w:val="21"/>
      <w:szCs w:val="22"/>
      <w14:ligatures w14:val="standardContextual"/>
    </w:rPr>
  </w:style>
  <w:style w:type="character" w:customStyle="1" w:styleId="24">
    <w:name w:val="批注框文本 字符"/>
    <w:basedOn w:val="16"/>
    <w:link w:val="7"/>
    <w:qFormat/>
    <w:uiPriority w:val="0"/>
    <w:rPr>
      <w:rFonts w:asciiTheme="minorHAnsi" w:hAnsiTheme="minorHAnsi" w:eastAsiaTheme="minorEastAsia" w:cstheme="minorBidi"/>
      <w:kern w:val="2"/>
      <w:sz w:val="18"/>
      <w:szCs w:val="18"/>
      <w14:ligatures w14:val="standardContextual"/>
    </w:rPr>
  </w:style>
  <w:style w:type="paragraph" w:customStyle="1" w:styleId="25">
    <w:name w:val="修订1"/>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63D056-CC11-484B-8077-A778B3830BDB}">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3519</Words>
  <Characters>3665</Characters>
  <Lines>20</Lines>
  <Paragraphs>5</Paragraphs>
  <TotalTime>3</TotalTime>
  <ScaleCrop>false</ScaleCrop>
  <LinksUpToDate>false</LinksUpToDate>
  <CharactersWithSpaces>3679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2025-11-13T03:31:00Z</dcterms:created>
  <dc:creator>CKL</dc:creator>
  <cp:lastModifiedBy>若初见</cp:lastModifiedBy>
  <cp:lastPrinted>2026-04-28T02:23:00Z</cp:lastPrinted>
  <dcterms:modified xsi:type="dcterms:W3CDTF">2026-04-28T02:32:04Z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eyJoZGlkIjoiODYxMWMyMjc2MzlmYzI3ZTQ2ZGNkZDliMDUzOGNhM2EiLCJ1c2VySWQiOiI2ODcwOTk0NzgifQ==</vt:lpwstr>
  </property>
  <property fmtid="{D5CDD505-2E9C-101B-9397-08002B2CF9AE}" pid="4" name="ICV">
    <vt:lpwstr>8EE56817425B4236820F6EFE40319775</vt:lpwstr>
  </property>
</Properties>
</file>