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spacing w:before="0" w:line="600" w:lineRule="exact"/>
        <w:ind w:right="0"/>
        <w:jc w:val="center"/>
        <w:rPr>
          <w:rFonts w:hint="eastAsia" w:ascii="仿宋_GB2312" w:hAnsi="仿宋_GB2312" w:eastAsia="仿宋_GB2312" w:cs="仿宋_GB2312"/>
          <w:b/>
          <w:bCs/>
          <w:color w:val="auto"/>
          <w:sz w:val="44"/>
          <w:szCs w:val="44"/>
          <w:lang w:val="en-US" w:eastAsia="zh-CN"/>
        </w:rPr>
      </w:pPr>
      <w:bookmarkStart w:id="0" w:name="OLE_LINK1"/>
      <w:r>
        <w:rPr>
          <w:rFonts w:hint="eastAsia" w:ascii="仿宋_GB2312" w:hAnsi="仿宋_GB2312" w:eastAsia="仿宋_GB2312" w:cs="仿宋_GB2312"/>
          <w:b/>
          <w:bCs/>
          <w:color w:val="auto"/>
          <w:sz w:val="44"/>
          <w:szCs w:val="44"/>
          <w:lang w:val="en-US" w:eastAsia="zh-CN"/>
        </w:rPr>
        <w:t>项目需求书</w:t>
      </w:r>
    </w:p>
    <w:p>
      <w:pPr>
        <w:autoSpaceDE/>
        <w:autoSpaceDN/>
        <w:spacing w:before="0" w:line="240" w:lineRule="auto"/>
        <w:ind w:right="0"/>
        <w:jc w:val="both"/>
        <w:rPr>
          <w:rFonts w:hint="eastAsia" w:ascii="仿宋_GB2312" w:hAnsi="仿宋_GB2312" w:eastAsia="仿宋_GB2312" w:cs="仿宋_GB2312"/>
          <w:b/>
          <w:bCs/>
          <w:color w:val="auto"/>
          <w:sz w:val="21"/>
          <w:szCs w:val="21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  <w:t>项目概况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</w:pPr>
      <w:r>
        <w:drawing>
          <wp:inline distT="0" distB="0" distL="114300" distR="114300">
            <wp:extent cx="5601335" cy="32334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  <w:t>原苗圃总占地面积约5.5万平方米，其中开心农场菜地配套区域2.3万平方米。农场2025年阶段性停运后，出现场地杂化、设施破损老化问题，该农场原运营期菜地租售率100%，是琴澳居民重要民生载体。为响应琴澳居民诉求，适配都市出行新需求，拟对农场进行提升改造，打造综合性民生休闲平台。</w:t>
      </w:r>
    </w:p>
    <w:p>
      <w:pPr>
        <w:numPr>
          <w:ilvl w:val="0"/>
          <w:numId w:val="0"/>
        </w:numPr>
        <w:spacing w:line="360" w:lineRule="auto"/>
        <w:ind w:firstLine="301" w:firstLineChars="1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（一）项目名称：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横琴粤澳深度合作区橙子开心农场提升改造服务项目</w:t>
      </w:r>
    </w:p>
    <w:p>
      <w:pPr>
        <w:numPr>
          <w:ilvl w:val="0"/>
          <w:numId w:val="0"/>
        </w:numPr>
        <w:spacing w:line="360" w:lineRule="auto"/>
        <w:ind w:firstLine="301" w:firstLineChars="1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（二）项目地点：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横琴粤澳深度合作区国际网球中心东侧、彩虹路南侧、子期南路西侧、横琴大道、琴韵路北侧。</w:t>
      </w:r>
    </w:p>
    <w:p>
      <w:pPr>
        <w:numPr>
          <w:ilvl w:val="0"/>
          <w:numId w:val="0"/>
        </w:numPr>
        <w:spacing w:line="360" w:lineRule="auto"/>
        <w:ind w:firstLine="301" w:firstLineChars="100"/>
        <w:jc w:val="both"/>
        <w:rPr>
          <w:rFonts w:hint="default" w:eastAsiaTheme="minorEastAsia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（三）项目规模：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本次提升改造总面积23000㎡，主要内容包括：租赁菜园种植区规划精品单元（5.3-6.2㎡）不少于310个、尊享单元（10.1-13㎡）不少于203个，预留轮作地不少于50块；公共活动区采摘区不少于1210㎡、儿童沙池742㎡、装配式淋浴间、工具房；服务客厅采用集装箱模块化搭建、生态留白区含生态水塘、水岸步道等生态休闲设施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  <w:t>服务期限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合同履行期限：自合同签订之日起60日历天内完成设计与实施工作，逾期按违约责任处理。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备注：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具体服务时间以采购人最终实际要求调整，采购人可根据政策调整提前通知中标人后终止合同；对已完成的提升改造合格工作量结算，总价不超过最高限价。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default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  <w:t>采购预算及报价形式</w:t>
      </w:r>
    </w:p>
    <w:p>
      <w:pPr>
        <w:numPr>
          <w:ilvl w:val="0"/>
          <w:numId w:val="2"/>
        </w:numPr>
        <w:spacing w:line="360" w:lineRule="auto"/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预算金额：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人民币玖拾玖万玖仟零柒拾柒元玖角壹分整（￥999,077.91）。该预算为提升改造固定含税最高限价，包含设计、实施、验收、安全、税费等全部费用。</w:t>
      </w:r>
    </w:p>
    <w:p>
      <w:pPr>
        <w:numPr>
          <w:ilvl w:val="0"/>
          <w:numId w:val="2"/>
        </w:numPr>
        <w:spacing w:line="360" w:lineRule="auto"/>
        <w:ind w:firstLine="420" w:firstLineChars="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投标报价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1、报价范围：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包括但不限于设计费、货物购置费、运输费、安装费、设备及劳保用品购置及维护费、车辆使用费、人员费用、场地清理费、绿植种植及养护费、税费、管理费、生产资料费、应急处理费、安全生产费、安全责任事故处理费等完成提升改造全部工作的所有费用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2、报价要求：</w:t>
      </w:r>
      <w:bookmarkStart w:id="1" w:name="OLE_LINK2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投标人按清单报价漏报、少报或不报的费用，均视为已包含在其报价中，采购人不予另行支付。</w:t>
      </w:r>
    </w:p>
    <w:bookmarkEnd w:id="1"/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8"/>
          <w:sz w:val="30"/>
          <w:szCs w:val="30"/>
          <w:lang w:val="en-US" w:eastAsia="zh-CN" w:bidi="ar-SA"/>
        </w:rPr>
        <w:t>服务内容及要求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8"/>
          <w:sz w:val="30"/>
          <w:szCs w:val="30"/>
          <w:lang w:val="en-US" w:eastAsia="zh-CN" w:bidi="ar-SA"/>
        </w:rPr>
        <w:t>本项目</w:t>
      </w:r>
      <w:r>
        <w:rPr>
          <w:rFonts w:hint="eastAsia" w:ascii="仿宋_GB2312" w:hAnsi="仿宋_GB2312" w:eastAsia="仿宋_GB2312" w:cs="仿宋_GB2312"/>
          <w:b w:val="0"/>
          <w:bCs w:val="0"/>
          <w:kern w:val="28"/>
          <w:sz w:val="30"/>
          <w:szCs w:val="30"/>
          <w:lang w:val="en-US" w:eastAsia="zh-Hans" w:bidi="ar-SA"/>
        </w:rPr>
        <w:t>服务内容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  <w:t>为提升改造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，中标人须现场实地考察，结合场地现状、琴澳居民核心诉求及后期运营实用性，统筹实施与管理场地设计、场地清理修复、功能分区重塑、设施优化升级、生态景观恢复等全部工作，所有设计、实施成果须符合国家、行业及横琴粤澳深度合作区现行规范标准，兼顾民生属性、使用便捷性与长期使用的可行性，最终达到竣工验收标准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（一）总体设计及服务要求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1、民生优先：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优先保障琴澳居民、特别是澳门居民的农耕需求，科学规划租赁菜园分区，配套完善的耕种服务设施，设计上支持未来澳门居民的菜地优先识别与引导。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2、功能升级：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保留农场原有核心服务功能的基础上，新增采摘区、活动草坪区、儿童活动区等多元化功能区，打造复合型民生休闲平台。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3、体验优化：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兼具农耕实用与休闲体验感，优化场地动态设计，配备人性化服务设施，满足家庭亲子、有机生活爱好者、学校研学等不同客群需求。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4、生态可持续：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注重生态保护与恢复，合理规划生态留白区域，或(预留堆肥科普、无土栽培空间)，恢复场地原有水生态景观，选用本土易管养绿植品种。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5、安全第一：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强化全场地安全防护设计，对水塘、儿童活动区等重点区域设置高标准安全防护设施，所有设计及提升改造服务工作符合安全使用规范。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/>
          <w:bCs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  <w:t>（二）设计要求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中标人需结合项目场地现状及琴澳居民需求，完成方案设计工作，设计成果需经采购人审核通过后方可开展服务工作；设计方案修改完善等费用已包含在投标报价中，采购人不予另行支付。</w:t>
      </w:r>
    </w:p>
    <w:p>
      <w:pPr>
        <w:numPr>
          <w:ilvl w:val="0"/>
          <w:numId w:val="3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设计范围：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完成场地深化设计、功能分区设计、配套设施设计、景观种植设计、水电接驳设计、安全设施设计等，覆盖租赁菜园种植区、公共活动区、服务客厅、生态留白区四大核心板块；需明确各板块平面布局、竖向设计、材料选型、服务作业流程、工程量清单等，同时提供效果图、平面布置图、设计说明等完整设计成果。</w:t>
      </w:r>
    </w:p>
    <w:p>
      <w:pPr>
        <w:numPr>
          <w:ilvl w:val="0"/>
          <w:numId w:val="3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设计内容及要求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（1）租赁菜园种植区：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需设计不同面积菜园单元，满足多样化耕种需求，其中5.3-6.2㎡小面积精品单元不少于310个、10.1-13㎡大面积尊享单元不少于203个，预留不少于50块轮作菜地。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（2）公共活动区：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包含采摘区、儿童活动区、活动草坪区；采摘区面积不少于1210㎡，儿童沙池面积不少于742㎡，活动草坪区配置遮阳棚。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（3）服务客厅：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采用集装箱模块化设计，整合会员服务中心、公共淋浴间、共享工具房，水电接驳到位，满足居民使用需求。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（4）生态留白区：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设计生态水塘驳岸、水岸休闲步道；水塘区域强化安全防护栏、设计，步道设计兼顾生态自然性与行人通行安全性、舒适性。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（5）基础配套完善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：对场地内原有破损、陈旧设施进行修缮完善；并落地全场无死角监控系统，门禁采用户外防水智能系统、照明以太阳能草坪灯为主，消防及垃圾收集设施按场地布局合理分布。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/>
          <w:bCs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  <w:t>（三）提升改造实施要求</w:t>
      </w: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中标人根据采购人最终审核确定的设计方案统筹开展服务作业，合同签订后10个日历天内进场，并于合同签订之日起60日历天内全面完成橙子开心农场提升改造全部服务工作，确保项目按期达到试运营及竣工验收标准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1、人员要求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现场服务作业选派经验丰富的专业技术团队，项目负责人、技术负责人、专职安全生产管理人员须全程驻场，人员、机械、资金配置合理，满足项目提升改造服务进度与质量要求。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Hans"/>
        </w:rPr>
        <w:t>项目管理团队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最低配置如下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（1）项目负责人：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具有市政公用工程专业高级及以上工程师职称1名，全程驻场负责项目统筹管理。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Hans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（2）技术负责人：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具有风景园林专业高级及以上工程师职称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Hans"/>
        </w:rPr>
        <w:t>1人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，负责现场技术交底、服务组织、质量管控。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（3）专职安全生产管理人员：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具有安全生产考核合格证书（C证）1名，负责现场安全管理、隐患排查、安全教育。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中标人需按项目服务作业需求配备充足且性能良好的机械设备、运输设备，满足提升改造服务进度及质量要求。作业过程中涉及的机械、设备、车辆、劳务人员等，均须按照安全生产相关规定规范操作、文明施工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default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2、服务要求</w:t>
      </w: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（1）中标人需提供从设计、服务作业到验收的全部工作，提升改造服务作业需严格按照审核通过的方案执行，具体包含但不限于：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①场地清理修复：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23000㎡场地全域清杂、水塘清淤及景观恢复、土地翻耕及种植土回填、原有破损设施拆除；300㎡园路修缮、500㎡砾石铺装、742㎡沙池翻新。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②功能分区实施：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按设计要求完成租赁菜园、公共活动区、服务客厅、生态留白区四大板块的全部布设完善工作，确保各功能区布局合理、作业规范。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③设施设备安装调试：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完成灌溉系统、监控、门禁、照明、消防等所有设施设备安装及调试，确保功能完好、运行正常。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④水电配套：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调试场地原有水电系统，铺设各功能区水电支管及计量设备，完成淋浴间、工具房等重点区域的水电接驳，确保水电供应稳定、计量准确。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⑤安全设施：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完成场地围栏、水塘防护栏、儿童活动区防护设施、消防设施等所有安全设施的布设完善，确保符合安全使用标准。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⑥生态景观恢复：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完成场地绿植种植（含乔木、灌木、地被）、生态水塘驳岸布设完善。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（2）提升改造实施质量标准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1、场地与构筑物：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场地平整无积水，道路及铺装平整牢固，墙体及构筑物布设规范无裂缝，集装箱改造装修符合功能及安全要求。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2、设施安装：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所有设施设备安装牢固、位置准确，调试正常、功能完好，无松动、歪斜、故障等问题，安装规范符合相关行业标准。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3、绿植种植：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绿植种植存活率≥95%，种植规范、布局合理，与设计成果高度契合，景观绿植生长环境达标。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4、水电作业：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水电管道铺设规范、无漏水漏电，接线牢固、符合安全用电标准，计量设备精准、数据可查，重点区域水电配套到位。</w:t>
      </w:r>
    </w:p>
    <w:p>
      <w:pPr>
        <w:numPr>
          <w:ilvl w:val="0"/>
          <w:numId w:val="0"/>
        </w:numPr>
        <w:spacing w:line="360" w:lineRule="auto"/>
        <w:ind w:firstLine="602" w:firstLineChars="20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5、安全作业：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所有安全设施安装牢固、符合安全标准，警示标识清晰、醒目、无缺失，场地无安全隐患。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五、分包要求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（一）中标人须在合同生效后的10日内，向采购人报送分包方案。采购人自收到材料之日起3个日历天内完成审批。经采购人审批通过后方可实施。未通过审批的，中标人须按要求期限修改后重新报审。分包计划须在本合同生效后15个自然日内完成审批。采购人逾期未审批且无异议的，视为同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（二）中标人与分包单位签订的合同，须在签订后2个自然日内提交采购人备案；分包单位须具备相应资质、无不良履约记录。中标人对分包单位承担全过程管理与连带责任，严禁转包、再次分包。采购人对中标人的考核同步适用于分包单位。分包项目考核不合格的，采购人有权要求中标人更换该分包单位，且其不得再承接本项目相关工作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六、联系人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  <w:t>联系人：吴珅晏              联系电话:0756-8922972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附件</w:t>
      </w:r>
    </w:p>
    <w:tbl>
      <w:tblPr>
        <w:tblStyle w:val="7"/>
        <w:tblW w:w="10325" w:type="dxa"/>
        <w:tblInd w:w="-9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600"/>
        <w:gridCol w:w="4212"/>
        <w:gridCol w:w="1275"/>
        <w:gridCol w:w="1100"/>
        <w:gridCol w:w="713"/>
        <w:gridCol w:w="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分项报价表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工程量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场地清表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1、清理灌木林、杂草、建筑垃圾、清表、土壤消杀等，平均厚度约10cm。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2、土壤类别：土质综合考虑。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3、开挖方式:人工配合机械。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4、余方弃置：垃圾清运出岛，运距15km。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21037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土地翻耕、细整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1、场地翻耕，深度30cm，覆盖耕作层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2、细整至无大土块、石块、垃圾等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3、作业方式：人机配合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6841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种植土回填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1、外购优质种植土30cm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2、回填至需要场地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m³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园路拆除（沉降区域及营地区、萌宠互动区原有园路）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1、拆除红色水泥透水砖及结合层，厚度8cm(透水砖5cm+结合层3cm 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2、拆除混凝土垫层，厚度:200mm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3、挖掘机装自卸汽车运废料，运距15km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红色水泥透水砖铺设块料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1、红色水泥透水砖，100×200×50mm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2、30mm厚1:3干硬性水泥砂浆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3、200mm厚级配碎石垫层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砾石园路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1、素土夯实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2、土工布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3、100厚级配碎石垫层                                 4、80mm厚粒径5-10mm灰色砾石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沙池细沙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1、细沙30cm厚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2、土工布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3、素土夯实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m³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222.6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塑木栈道修复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1、深栗色实心塑木板、120×1500×30mm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2、龙骨利旧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3、修复安装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成品花架座椅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1、成品花架座椅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2、详见施工图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沙池砌筑座椅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1、直径3.2m，座面宽600mm，MU100砌块砌筑，20mm仿木混凝土板饰面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2、详见施工图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工具房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3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钢结构箱体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1、20尺全新定制焊接集装箱，尺寸6058*2438*2896mm，主梁采用6mm厚Q235B工字钢，侧板2.0mm波纹板，整体喷砂除锈环氧富锌底漆。喷涂金属氟碳漆3度，墙体填充隔热棉，防水采用密封胶填缝。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2，B型槽钢14#、矩形管≥100*50*4mm、矩形管≥100*50*2mm、矩形管≥70*50*4mm、矩形管≥50*25*1.5mm矩形管≥40*20*1.5mm方管≥50*50*3mm、角钢40*4、C型轻钢龙骨150/100。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屋顶防水板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1、屋顶防水板，钢板厚度3mm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2、隔汽层:2.5厚skd耐碱特殊铝箔面玻纤胎自粘性SBS改性沥青隔汽卷材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3、岩棉板保温层(固定件固定)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4、底层防水层采用1.7厚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TTM玻纤网格胎双面自粘性SBS改性沥青防水卷材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5、耐根穿刺防水层为4.0厚WSI铜离子复合聚酯胎SBS改性粘性SBS改性沥青防水卷材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不锈钢边框；2.0mm厚抗氧化铝板（木纹转印）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1、门的规格：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①无障碍间：850×2060 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②厕所蹲位间：620×1940 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2、门的材质：≥4mm 双面铝塑板加≥30mm平面复合板，不锈钢板边框；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3、门框主骨架的材质：采用镀锌方钢管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4、锁：不锈钢大头锁；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5、拉手：180mm 不锈钢拉手；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6、合页：不锈钢弹簧铰链。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2.95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内墙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1.内部采用轻钢龙骨+9mm水泥纤维板作为基层+50mm厚阻燃岩棉保温层；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2、墙面铺设300*600mm瓷砖（东鹏）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1.地面做双层防水（聚氨酯涂膜）,3mm厚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2、铺设600*600灰色防滑地砖（东鹏）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吊顶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1.顶部为防潮铝扣板集成吊顶（1.5mm）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钢结构箱体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1、20尺全新定制焊接集装箱，尺寸6058*2438*2896mm，主梁采用6mm厚Q235B工字钢，侧板2.0mm波纹板，整体喷砂除锈环氧富锌底漆。喷涂金属氟碳漆3度，墙体填充隔热棉，防水采用密封胶填缝。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2，B型槽钢14#、矩形管≥100*50*4mm、矩形管≥100*50*2mm、矩形管≥70*50*4mm、矩形管≥50*25*1.5mm、矩形管≥40*20*1.5mm、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方管≥50*50*3mm、角钢40*4、C型轻钢龙骨150/100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屋顶防水板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1、屋顶防水板，钢板厚度3mm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2、隔汽层:2.5厚skd耐碱特殊铝箔面玻纤胎自粘性SBS改性沥青隔汽卷材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3、岩棉板保温层(固定件固定)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4、底层防水层采用1.7厚TTM玻纤网格胎双面自粘性SBS改性沥青防水卷材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5、耐根穿刺防水层为4.0厚WSI铜离子复合聚酯胎SBS改性粘性SBS改性沥青防水卷材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不锈钢边框；2.0mm厚抗氧化铝板（木纹转印）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1、门；门的规格：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①无障碍间：850×2060 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②厕所蹲位间：620×1940 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2、门的材质：≥4mm 双面铝塑板加≥30mm平面复合板，不锈钢板边框；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3、门框主骨架的材质：采用镀锌方钢管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4、锁：不锈钢大头锁；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5、拉手：180mm 不锈钢拉手；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6、合页：不锈钢弹簧铰链。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内墙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1.内部采用轻钢龙骨+9mm水泥纤维板作为基层+50mm厚阻燃岩棉保温层；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2、墙面铺设300*600mm瓷砖（东鹏）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1.地面做双层防水（聚氨酯涂膜）,3mm厚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2、铺设600*600灰色防滑地砖（东鹏）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吊顶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1.顶部为防潮铝扣板集成吊顶（1.5mm）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防雾镜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1、尺寸：700mm*900mm*5mm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2、涂层物理防雾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不锈钢置物架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1、304不锈钢不锈钢成品浴室置物架、毛巾架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2、尺寸：600mm*210mm*205mm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室内标识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1、盥洗指示标识（250*120）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2.警示提示标识（220*200）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3.定制 中英文双语提示。                           4.不锈钢材质标牌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草坪区遮荫棚架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1、遮荫棚架24m*6m*3m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2、基础：600*600*600钢筋C25混凝土基础，Ø6钢筋@200；垫层C15混凝土100mm*700*700mm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3、预埋件：250*250*10厚钢板,60*60*6勒脚板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4、钢立柱100*100*4mmQ235矩形钢管，10根；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5、棚架龙骨采用80*40*3mm热镀锌方钢檩条；钢材除锈后刷环氧富锌防锈漆两遍，氟碳漆面漆两遍；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6、屋面2mm厚树脂彩钢瓦螺栓固定，耐候硅密封胶密封处理；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7、彩钢瓦接水槽，厚度0.8mm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绿化种植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水岸铺种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大叶油草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1、大叶油草草卷30*100cm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2、铺种方式：满铺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3、养护期：人工养护3个月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草坪区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铺种草皮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1、台湾草草卷30*100cm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2、铺种方式：满铺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3、养护期：人工养护3个月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种植南洋楹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1、种类：南洋楹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2、规格：胸径20-22cm，树高600-800cm，冠幅500-550cm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3、养护期:3个月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淋浴房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种植火山榕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1、种类：火山榕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2、规格：树高250cm，冠幅60-70cm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3、养护期:3个月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4、含苗木挖填土方及整理等全部工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坡地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种植蟛蜞菊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1、种类：蟛蜞菊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2、规格：树高15cm，冠幅15cm，49丛/㎡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3、养护期:3个月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配套设施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园区隔离围网安装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1、材质：1.0厚不锈竹节管，仿竹纹饰面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2、高度：850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3、门立柱40*20，1.0厚不锈钢方通，仿竹纹饰面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隔离护栏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1、材质：热镀锌方管100*100*3（mm）立柱，100*100*5mm热镀锌方管立柱，间隔1000mmm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2、绿色喷塑隔离网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农场南次入口大门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1、门代号及洞口尺寸:2900*2400mm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2、门类型:钢结构大门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3、门框、扇材质:镀锌钢管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4、五金配件:包门锁、拉手等小五金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5、油漆：氟碳漆2遍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户外防水门禁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1、IP67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2、ABS材质、铝合金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3、工作温度：-20°C~70°C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4、开锁方式：刷卡/密码/蓝牙/半导体生物识别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5、读卡距离1-5cm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6、储存容量1000组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7、记录查询6000条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灭火器箱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1、灭火箱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2、灭火器放置箱金属外壳，内设两具灭火器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3、4Kg箱+4Kg灭火器2瓶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垃圾桶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1、不锈钢成品垃圾桶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2、规格尺寸：500*1000*1200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原有集装箱锈蚀加焊维修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1、3m热镀锌钢板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2、按实际加焊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给排水工程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挖沟槽土方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1.土类别:一、二类土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2.挖土深度:4m以内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m³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回填方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1.填方来源:利用方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2.密实度:按设计及规范要求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3.材料品种、规格:土方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m³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PVC给水管 DN50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2.规格:DN50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3.连接形式:粘接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4.管道消毒、冲洗:水压试验及水冲洗消毒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5.安装部位:室外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6.介质:给水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PVC给水管 DN25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2.规格:DN25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3.连接形式:粘接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4.管道消毒、冲洗:水压试验及水冲洗消毒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5.安装部位:室外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6.介质:给水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PE给水管 DN20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1.材质:PE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2.规格:DN20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3.连接形式:热熔连接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4.管道消毒、冲洗:水压试验及水冲洗消毒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5.介质:给水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PE给水管 DN50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1.材质:PE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2.规格:DN50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3.连接形式:热熔连接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4.管道消毒、冲洗:水压试验及水冲洗消毒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5.介质:给水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排水波纹管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1.材质:HDPE双壁波纹管                                                                            2.规格:DN400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3.管道消毒、冲洗:HDPE双壁波纹管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砌筑井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1、土方开挖回填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2、砖品种、规格、强度等级:MU10砖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3、尺寸:直径700mm，深度1.1m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4、垫层材料种类、厚度:100mmC15混凝土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5、砂浆强度等级:M5 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6、砖砌厚度:120mm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7、井盖：球墨铸铁井盖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监控部分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挖沟槽土方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1.土类别:一、二类土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2.挖土深度:4m以内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m³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102.5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回填方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1.填方来源:利用方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2.密实度:按设计及规范要求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3.材料品种、规格:土方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m³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102.5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配电箱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1.名称:配电箱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2.规格:304不锈钢防水电箱60*80cm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3、包含基础等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高清球机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1、名称：IP网络摄像机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规格、参数：星光级，1/1.8英寸CMOS传感器；像素不低于400万；光学变焦：≥30倍；图像帧率≥25；16倍数字变焦；低照度支持：最低照度不高于0.001Lux(彩色）；0Lux（补光灯开启）；摄像机授时要求；支持平台授时；支持GB/T 28181-2016、GA/T 1400-2017等国家及行业标准；支持多码率的编码、传输，其中至少1路具有1080P及以上双码流的输出能力；防护等级IP67；TVS 8000V防雷、防浪涌和防突波保护。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3、包含支架、电源、避雷器等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监控杆 6.5×3.0m（含基础）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1、类型:悬臂式监控杆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2、材质:八角锥形镀锌钢管立柱+横梁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3、规格尺寸:立柱D230/140（对角）×6mm×6500mm、横梁D140/90（对角）×4.5mm×3000mm、1000mm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4、基础材料品种、厚度:C25混凝土、1500mm厚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5、垫层材料品种、厚度:C10混凝土、100mm厚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6、结构及做法:详见设计图纸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根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设备防水挂杆箱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1、名称：设备防水挂杆箱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2、规格、参数：400*300*500 mm；全天候防风雨立式机箱。标准19”机架式设计。箱体材料选用304不锈钢，外壳防护等级达到国标GB IP66等级；配电模块（5位）、接地模块（铜质）、防盗报警装置（须接入平台报警系统）、自动重合开关、配套安装附件及辅材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监控手井 800*600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1、规格：400*400*500mm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2、混凝土垫层：C15普通商品混凝土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3、砖砌：M10砂浆砌MU7.5砖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4、1:2.5水泥砂浆批挡 厚内10外15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5、C30混凝土压顶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6、其他要求：详见设计施工图及规范要求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电力电缆-YJV-3*4mm2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1．名称：电力电缆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2．型号：YJV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3．规格：3*4mm2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4．材质：铜芯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5．敷设方式、部位：室内敷设(管、槽、沟)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6．电压等级：0.6/1kV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GYTA单模光缆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1．名称：GYTA单模光缆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2．规格：8芯GYTA、GYTS室外层绞式单模光缆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3．敷设方式：管内、槽架内配线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配管-PVC25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1．名称：PVC刚性阻燃管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3．规格：DN25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4．配置形式：埋地敷设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96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工具房电气安装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防溅开关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1.名称:一位单控防溅开关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2.材质:塑料，带防水盖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3.规格:250A/10A，面板 86mmX86mm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4.安装方式:明装 H=1.3m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五孔防溅插座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1.名称:五孔防溅插座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2.规格:250V 10A (安全型)，面板86mm×86mm，带防水盖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3.安装方式:暗装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平板灯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1.名称:平板灯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2.型号:DV24v 20w，4000k，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3.规格:600*300(mm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配管-PVC25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1．名称：PVC刚性阻燃管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3．规格：DN25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4．配置形式：埋地敷设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 BVV-2.5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1．名称：电线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2．材质：铜芯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3．规格：2.5mm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淋浴房水电安装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手持花洒套装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1、材质:花洒龙头花洒；铜+不锈钢+ABS+PVC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2、包含角阀等附件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60L电热水器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1、容积:60升,3300W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2、品牌：美的等品牌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不锈钢防臭地漏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1.类型:不锈钢防臭地漏                                                              2.规格:DN50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立柱式洗手盆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1.类型:洗脸盆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2.材质:陶瓷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3.规格:柱式800mm+600mm高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4.安装方式:冷水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5.附件名称、数量:1套冷水面盆水龙头，1个DN15角阀带装饰盖，1条DN15金属软管，1套排水栓，1个存水弯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水龙头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1.类型:水龙头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2.材质:不锈钢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3.型号:DN15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PPR热水管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1.材质:耐高低温增强型PPR复合管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2.规格:DN25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3.连接形式:热熔连接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4.管道消毒、冲洗:水压试验，水冲洗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70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PVC给水管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1.材质:PVC DN20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2.连接形式:热熔连接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3.管道消毒、冲洗:水压试验，水冲洗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4.安装部位:室外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5.介质:给水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排水管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1.材质:UPVC排水管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2.规格:DN75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3.连接形式:粘接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4.管道消毒、冲洗:水压试验，水冲洗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5.安装部位:室外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6.介质:排水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冷暖风防潮防雾灯集成浴霸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1.名称:冷暖风防潮防雾灯集成浴霸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2.型号:换气功率40w，吹风功率40w。照明功率60w，取暖功率2800w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3.规格:300mm*600mm*110mm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外墙壁灯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1.名称:外墙壁灯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2.型号:功率20w，4000k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3.规格:全铝，300mm*600mm*110mm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防溅开关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1.名称:防溅开关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2.材质:塑料，带防水盖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3.规格:250A/10A，面板 86mmX86mm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4.安装方式:明装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五孔防溅插座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1.名称:五孔防溅插座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2.规格:250V 10A (安全型)，面板86mm×86mm，带防水盖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3.安装方式:暗装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三孔大功率防溅插座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1.名称:三孔大功率防溅插座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2.规格:250V 16A (安全型)，面板86mm×86mm，带防水盖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3.安装方式:暗装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平板灯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1.名称:平板灯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2.型号:DV24v 20w，4000k，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3.规格:600*300(mm)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不锈钢配电箱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1.名称:不锈钢配电箱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2.规格:200mm*200mm*100mm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3.安装方式:悬挂嵌入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配管-PVC25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1．名称：PVC刚性阻燃管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2．材质：塑料                                             3．规格：DN25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 BVV-4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1．名称：电线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2．材质：铜芯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3．规格：4mm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32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草坪灯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1.名称:太阳能草坪灯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2.规格:8w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3.类型:地插式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原有卫生间吸顶灯更换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1.名称:防雾吸顶灯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2.规格:18W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3.类型:PP材质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4.其他:拆除原有卫生间吸顶灯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原有卫生间冲水箱更换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1.类型:自动冲洗水箱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2.材质:PP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3.容积(L):6L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4.水箱:配DN25自动冲洗阀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5.其他:原有卫生间冲水箱拆除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水龙头</w:t>
            </w:r>
          </w:p>
        </w:tc>
        <w:tc>
          <w:tcPr>
            <w:tcW w:w="4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1.类型:水龙头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2.材质:不锈钢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3.型号:DN15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3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     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yellow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600" w:firstLineChars="1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横琴粤澳深度合作区城市规划和建设局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0" w:firstLineChars="20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2026年5月6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highlight w:val="none"/>
          <w:u w:val="none"/>
          <w:lang w:val="en-US" w:eastAsia="zh-CN"/>
        </w:rPr>
        <w:t>日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</w:p>
    <w:bookmarkEnd w:id="0"/>
    <w:p/>
    <w:p/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0"/>
          <w:szCs w:val="30"/>
          <w:highlight w:val="none"/>
          <w:u w:val="none"/>
          <w:lang w:val="en-US" w:eastAsia="zh-CN" w:bidi="ar-SA"/>
        </w:rPr>
      </w:pPr>
    </w:p>
    <w:sectPr>
      <w:footerReference r:id="rId3" w:type="default"/>
      <w:pgSz w:w="11906" w:h="16838"/>
      <w:pgMar w:top="1497" w:right="1576" w:bottom="1497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035B53"/>
    <w:multiLevelType w:val="singleLevel"/>
    <w:tmpl w:val="87035B53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 w:ascii="仿宋_GB2312" w:hAnsi="仿宋_GB2312" w:eastAsia="仿宋_GB2312" w:cs="仿宋_GB2312"/>
        <w:sz w:val="30"/>
        <w:szCs w:val="30"/>
      </w:rPr>
    </w:lvl>
  </w:abstractNum>
  <w:abstractNum w:abstractNumId="1">
    <w:nsid w:val="5E385136"/>
    <w:multiLevelType w:val="singleLevel"/>
    <w:tmpl w:val="5E38513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08884AA"/>
    <w:multiLevelType w:val="singleLevel"/>
    <w:tmpl w:val="608884AA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3">
    <w:nsid w:val="6B9E6202"/>
    <w:multiLevelType w:val="singleLevel"/>
    <w:tmpl w:val="6B9E6202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804739"/>
    <w:rsid w:val="008C7FF6"/>
    <w:rsid w:val="01214C67"/>
    <w:rsid w:val="012D42FD"/>
    <w:rsid w:val="02C50B1A"/>
    <w:rsid w:val="02CE40AE"/>
    <w:rsid w:val="02D60E35"/>
    <w:rsid w:val="041D7BEF"/>
    <w:rsid w:val="050B2FD3"/>
    <w:rsid w:val="051E41F2"/>
    <w:rsid w:val="055C1075"/>
    <w:rsid w:val="06580A77"/>
    <w:rsid w:val="081C1199"/>
    <w:rsid w:val="0AFB4013"/>
    <w:rsid w:val="0B025B9C"/>
    <w:rsid w:val="0B27035A"/>
    <w:rsid w:val="0B8F4A3F"/>
    <w:rsid w:val="0E0F671A"/>
    <w:rsid w:val="0E241F41"/>
    <w:rsid w:val="0F5D54C1"/>
    <w:rsid w:val="10480942"/>
    <w:rsid w:val="108C5BB3"/>
    <w:rsid w:val="109C3C4F"/>
    <w:rsid w:val="13010B3B"/>
    <w:rsid w:val="13CF5531"/>
    <w:rsid w:val="13DA577A"/>
    <w:rsid w:val="15196FAC"/>
    <w:rsid w:val="156C666B"/>
    <w:rsid w:val="15AF07A4"/>
    <w:rsid w:val="16DB5142"/>
    <w:rsid w:val="174225BC"/>
    <w:rsid w:val="183A13B0"/>
    <w:rsid w:val="1954601C"/>
    <w:rsid w:val="199620CF"/>
    <w:rsid w:val="1C9B12FC"/>
    <w:rsid w:val="1CAC1596"/>
    <w:rsid w:val="1CD41F07"/>
    <w:rsid w:val="1D7C1C6E"/>
    <w:rsid w:val="1D9A312D"/>
    <w:rsid w:val="1DC16EE0"/>
    <w:rsid w:val="1EAA02A7"/>
    <w:rsid w:val="1F383249"/>
    <w:rsid w:val="20BB6A78"/>
    <w:rsid w:val="20F1259A"/>
    <w:rsid w:val="221435F7"/>
    <w:rsid w:val="22280099"/>
    <w:rsid w:val="23266286"/>
    <w:rsid w:val="2371569A"/>
    <w:rsid w:val="23D322D3"/>
    <w:rsid w:val="248868FE"/>
    <w:rsid w:val="24BB03AA"/>
    <w:rsid w:val="2536579D"/>
    <w:rsid w:val="25B30EC9"/>
    <w:rsid w:val="269B7263"/>
    <w:rsid w:val="270A5318"/>
    <w:rsid w:val="27D0185E"/>
    <w:rsid w:val="283B6D0F"/>
    <w:rsid w:val="284E23E5"/>
    <w:rsid w:val="28A83AC0"/>
    <w:rsid w:val="28AF30D2"/>
    <w:rsid w:val="2A315B45"/>
    <w:rsid w:val="2A315BE3"/>
    <w:rsid w:val="2A3235C6"/>
    <w:rsid w:val="2A70595A"/>
    <w:rsid w:val="2B990834"/>
    <w:rsid w:val="2DAC5DFC"/>
    <w:rsid w:val="2DD76C40"/>
    <w:rsid w:val="2EFB0FA1"/>
    <w:rsid w:val="2FBF4562"/>
    <w:rsid w:val="32C37159"/>
    <w:rsid w:val="33A651CD"/>
    <w:rsid w:val="34617A5C"/>
    <w:rsid w:val="34AF7BFE"/>
    <w:rsid w:val="355B5B18"/>
    <w:rsid w:val="364827CE"/>
    <w:rsid w:val="37C33988"/>
    <w:rsid w:val="380C65E7"/>
    <w:rsid w:val="38957564"/>
    <w:rsid w:val="39A05497"/>
    <w:rsid w:val="39C443D2"/>
    <w:rsid w:val="3A586AEE"/>
    <w:rsid w:val="3B2E7797"/>
    <w:rsid w:val="3BD8791D"/>
    <w:rsid w:val="3DAB1933"/>
    <w:rsid w:val="3E407AAF"/>
    <w:rsid w:val="3E4C724D"/>
    <w:rsid w:val="3E725D00"/>
    <w:rsid w:val="3EBA1D12"/>
    <w:rsid w:val="3EE77DBC"/>
    <w:rsid w:val="3F34383F"/>
    <w:rsid w:val="40CE5B5F"/>
    <w:rsid w:val="425C67AB"/>
    <w:rsid w:val="44C768E7"/>
    <w:rsid w:val="4511585F"/>
    <w:rsid w:val="469C50D3"/>
    <w:rsid w:val="47315859"/>
    <w:rsid w:val="494574C2"/>
    <w:rsid w:val="494A394A"/>
    <w:rsid w:val="4A283338"/>
    <w:rsid w:val="4A7E04C4"/>
    <w:rsid w:val="4B50081C"/>
    <w:rsid w:val="4BBD11D0"/>
    <w:rsid w:val="4BFC6736"/>
    <w:rsid w:val="4D524AEA"/>
    <w:rsid w:val="4DA841F4"/>
    <w:rsid w:val="4E1D1C34"/>
    <w:rsid w:val="4E6E1C03"/>
    <w:rsid w:val="505E3468"/>
    <w:rsid w:val="50C54111"/>
    <w:rsid w:val="50EC1DD2"/>
    <w:rsid w:val="51934BA2"/>
    <w:rsid w:val="51DE0461"/>
    <w:rsid w:val="524741FD"/>
    <w:rsid w:val="52867552"/>
    <w:rsid w:val="540E06F6"/>
    <w:rsid w:val="54804739"/>
    <w:rsid w:val="55B72CB0"/>
    <w:rsid w:val="57A87EB0"/>
    <w:rsid w:val="582A2734"/>
    <w:rsid w:val="59EB4913"/>
    <w:rsid w:val="5B4E455A"/>
    <w:rsid w:val="5C4F1B7F"/>
    <w:rsid w:val="5D350B78"/>
    <w:rsid w:val="5E127261"/>
    <w:rsid w:val="5E583259"/>
    <w:rsid w:val="5E8D242E"/>
    <w:rsid w:val="5F5778F8"/>
    <w:rsid w:val="606C1EE7"/>
    <w:rsid w:val="617755BA"/>
    <w:rsid w:val="6267384D"/>
    <w:rsid w:val="633A04D8"/>
    <w:rsid w:val="637E7CC8"/>
    <w:rsid w:val="64143084"/>
    <w:rsid w:val="643C12E5"/>
    <w:rsid w:val="649C5F21"/>
    <w:rsid w:val="65397F9E"/>
    <w:rsid w:val="680848B9"/>
    <w:rsid w:val="681E22E0"/>
    <w:rsid w:val="683A063B"/>
    <w:rsid w:val="685A6791"/>
    <w:rsid w:val="686471D1"/>
    <w:rsid w:val="68971250"/>
    <w:rsid w:val="69883AB0"/>
    <w:rsid w:val="69983D4A"/>
    <w:rsid w:val="6AD36051"/>
    <w:rsid w:val="6CC92C88"/>
    <w:rsid w:val="6D955854"/>
    <w:rsid w:val="6DE02450"/>
    <w:rsid w:val="6F655ACF"/>
    <w:rsid w:val="706F5D19"/>
    <w:rsid w:val="71286A35"/>
    <w:rsid w:val="71812947"/>
    <w:rsid w:val="719402E3"/>
    <w:rsid w:val="72F57AC5"/>
    <w:rsid w:val="72FC1E33"/>
    <w:rsid w:val="732919FE"/>
    <w:rsid w:val="73CE3DC7"/>
    <w:rsid w:val="747A00A6"/>
    <w:rsid w:val="749C4248"/>
    <w:rsid w:val="74BC6591"/>
    <w:rsid w:val="77247C84"/>
    <w:rsid w:val="78066079"/>
    <w:rsid w:val="789449E3"/>
    <w:rsid w:val="7907369D"/>
    <w:rsid w:val="79EF399B"/>
    <w:rsid w:val="7A186D5D"/>
    <w:rsid w:val="7B4C38D7"/>
    <w:rsid w:val="7BA8076D"/>
    <w:rsid w:val="7C2D21B9"/>
    <w:rsid w:val="7CCB75CB"/>
    <w:rsid w:val="7D225A5C"/>
    <w:rsid w:val="7F3E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宋体" w:eastAsia="宋体"/>
      <w:color w:val="000000"/>
      <w:spacing w:val="0"/>
      <w:sz w:val="21"/>
      <w:szCs w:val="20"/>
    </w:rPr>
  </w:style>
  <w:style w:type="paragraph" w:styleId="3">
    <w:name w:val="Body Text"/>
    <w:basedOn w:val="1"/>
    <w:next w:val="1"/>
    <w:qFormat/>
    <w:uiPriority w:val="99"/>
    <w:pPr>
      <w:widowControl w:val="0"/>
      <w:spacing w:after="12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 Indent 2"/>
    <w:basedOn w:val="1"/>
    <w:qFormat/>
    <w:uiPriority w:val="0"/>
    <w:pPr>
      <w:spacing w:line="480" w:lineRule="exact"/>
      <w:ind w:left="810" w:firstLine="675"/>
    </w:pPr>
    <w:rPr>
      <w:rFonts w:ascii="Times New Roman" w:hAnsi="Times New Roman" w:eastAsia="仿宋_GB2312" w:cs="Times New Roman"/>
      <w:sz w:val="3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格式"/>
    <w:basedOn w:val="1"/>
    <w:qFormat/>
    <w:uiPriority w:val="0"/>
    <w:rPr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横琴新区</Company>
  <Pages>19</Pages>
  <Words>11487</Words>
  <Characters>11667</Characters>
  <Lines>0</Lines>
  <Paragraphs>0</Paragraphs>
  <TotalTime>79</TotalTime>
  <ScaleCrop>false</ScaleCrop>
  <LinksUpToDate>false</LinksUpToDate>
  <CharactersWithSpaces>11678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2026-04-08T08:16:00Z</dcterms:created>
  <dc:creator>user</dc:creator>
  <cp:lastModifiedBy>user</cp:lastModifiedBy>
  <dcterms:modified xsi:type="dcterms:W3CDTF">2026-05-06T06:39:01Z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9A3DD2FA1C0D460897377ACDBD804839</vt:lpwstr>
  </property>
</Properties>
</file>