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38E8">
      <w:pPr>
        <w:spacing w:line="600" w:lineRule="exact"/>
        <w:rPr>
          <w:rFonts w:ascii="仿宋_GB2312" w:hAnsi="仿宋_GB2312" w:eastAsia="仿宋_GB2312" w:cs="仿宋_GB2312"/>
          <w:sz w:val="32"/>
          <w:szCs w:val="32"/>
        </w:rPr>
      </w:pPr>
      <w:bookmarkStart w:id="7" w:name="_GoBack"/>
      <w:bookmarkEnd w:id="7"/>
      <w:r>
        <w:rPr>
          <w:rFonts w:hint="eastAsia" w:ascii="仿宋_GB2312" w:hAnsi="仿宋_GB2312" w:eastAsia="仿宋_GB2312" w:cs="仿宋_GB2312"/>
          <w:sz w:val="32"/>
          <w:szCs w:val="32"/>
        </w:rPr>
        <w:t>附件3</w:t>
      </w:r>
    </w:p>
    <w:p w14:paraId="675ADE4F">
      <w:pPr>
        <w:pStyle w:val="9"/>
        <w:ind w:firstLine="210"/>
      </w:pPr>
    </w:p>
    <w:p w14:paraId="0FC4DE29">
      <w:pPr>
        <w:spacing w:line="600" w:lineRule="exact"/>
        <w:jc w:val="center"/>
        <w:rPr>
          <w:rFonts w:hint="default" w:ascii="仿宋" w:hAnsi="仿宋" w:eastAsia="仿宋" w:cs="仿宋"/>
          <w:b/>
          <w:bCs/>
          <w:sz w:val="44"/>
          <w:szCs w:val="44"/>
          <w:lang w:val="en-US"/>
        </w:rPr>
      </w:pPr>
      <w:r>
        <w:rPr>
          <w:rFonts w:hint="eastAsia" w:ascii="仿宋" w:hAnsi="仿宋" w:eastAsia="仿宋" w:cs="仿宋"/>
          <w:b/>
          <w:bCs/>
          <w:sz w:val="44"/>
          <w:szCs w:val="44"/>
          <w:lang w:val="en-US" w:eastAsia="zh-CN"/>
        </w:rPr>
        <w:t>评分标准</w:t>
      </w:r>
    </w:p>
    <w:p w14:paraId="0BC4094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本项目采用综合评分法方法进行评审，具体评分细则详见综合评分表。评价指标及权重：</w:t>
      </w:r>
    </w:p>
    <w:tbl>
      <w:tblPr>
        <w:tblStyle w:val="11"/>
        <w:tblpPr w:leftFromText="180" w:rightFromText="180" w:vertAnchor="text" w:horzAnchor="page" w:tblpX="3370" w:tblpY="195"/>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2078"/>
      </w:tblGrid>
      <w:tr w14:paraId="51AA4C91">
        <w:trPr>
          <w:trHeight w:val="415" w:hRule="atLeast"/>
        </w:trPr>
        <w:tc>
          <w:tcPr>
            <w:tcW w:w="3761" w:type="dxa"/>
            <w:vAlign w:val="center"/>
          </w:tcPr>
          <w:p w14:paraId="52099F1E">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评价指标</w:t>
            </w:r>
          </w:p>
        </w:tc>
        <w:tc>
          <w:tcPr>
            <w:tcW w:w="2078" w:type="dxa"/>
            <w:vAlign w:val="center"/>
          </w:tcPr>
          <w:p w14:paraId="6299897E">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指标权重</w:t>
            </w:r>
          </w:p>
        </w:tc>
      </w:tr>
      <w:tr w14:paraId="321F66B1">
        <w:trPr>
          <w:cantSplit/>
        </w:trPr>
        <w:tc>
          <w:tcPr>
            <w:tcW w:w="3761" w:type="dxa"/>
            <w:vAlign w:val="center"/>
          </w:tcPr>
          <w:p w14:paraId="069387C8">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078" w:type="dxa"/>
            <w:vAlign w:val="center"/>
          </w:tcPr>
          <w:p w14:paraId="70B2287E">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w:t>
            </w:r>
          </w:p>
        </w:tc>
      </w:tr>
      <w:tr w14:paraId="4FE5C34B">
        <w:trPr>
          <w:cantSplit/>
          <w:trHeight w:val="388" w:hRule="atLeast"/>
        </w:trPr>
        <w:tc>
          <w:tcPr>
            <w:tcW w:w="3761" w:type="dxa"/>
            <w:vAlign w:val="center"/>
          </w:tcPr>
          <w:p w14:paraId="12ED1FC7">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2078" w:type="dxa"/>
            <w:vAlign w:val="center"/>
          </w:tcPr>
          <w:p w14:paraId="721A0298">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tc>
      </w:tr>
      <w:tr w14:paraId="2070519D">
        <w:trPr>
          <w:cantSplit/>
          <w:trHeight w:val="431" w:hRule="atLeast"/>
        </w:trPr>
        <w:tc>
          <w:tcPr>
            <w:tcW w:w="3761" w:type="dxa"/>
            <w:vAlign w:val="center"/>
          </w:tcPr>
          <w:p w14:paraId="0528C89A">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经济价格</w:t>
            </w:r>
          </w:p>
        </w:tc>
        <w:tc>
          <w:tcPr>
            <w:tcW w:w="2078" w:type="dxa"/>
            <w:vAlign w:val="center"/>
          </w:tcPr>
          <w:p w14:paraId="13A17E0D">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r>
      <w:tr w14:paraId="0F27C7F4">
        <w:trPr>
          <w:cantSplit/>
          <w:trHeight w:val="431" w:hRule="atLeast"/>
        </w:trPr>
        <w:tc>
          <w:tcPr>
            <w:tcW w:w="3761" w:type="dxa"/>
            <w:vAlign w:val="center"/>
          </w:tcPr>
          <w:p w14:paraId="6421B05A">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8" w:type="dxa"/>
            <w:vAlign w:val="center"/>
          </w:tcPr>
          <w:p w14:paraId="07A98E37">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14:paraId="2AC7E46D">
      <w:pPr>
        <w:spacing w:line="600" w:lineRule="exact"/>
        <w:rPr>
          <w:rFonts w:ascii="仿宋_GB2312" w:hAnsi="仿宋_GB2312" w:eastAsia="仿宋_GB2312" w:cs="仿宋_GB2312"/>
          <w:b/>
          <w:bCs/>
          <w:sz w:val="32"/>
          <w:szCs w:val="32"/>
        </w:rPr>
      </w:pPr>
    </w:p>
    <w:p w14:paraId="4E9B1D06">
      <w:pPr>
        <w:spacing w:line="600" w:lineRule="exact"/>
        <w:rPr>
          <w:rFonts w:ascii="仿宋_GB2312" w:hAnsi="仿宋_GB2312" w:eastAsia="仿宋_GB2312" w:cs="仿宋_GB2312"/>
          <w:sz w:val="32"/>
          <w:szCs w:val="32"/>
        </w:rPr>
      </w:pPr>
    </w:p>
    <w:p w14:paraId="0398E9E7">
      <w:pPr>
        <w:spacing w:line="600" w:lineRule="exact"/>
        <w:rPr>
          <w:rFonts w:ascii="仿宋_GB2312" w:hAnsi="仿宋_GB2312" w:eastAsia="仿宋_GB2312" w:cs="仿宋_GB2312"/>
          <w:sz w:val="32"/>
          <w:szCs w:val="32"/>
        </w:rPr>
      </w:pPr>
    </w:p>
    <w:p w14:paraId="2388B759">
      <w:pPr>
        <w:spacing w:line="600" w:lineRule="exact"/>
        <w:rPr>
          <w:rFonts w:ascii="仿宋_GB2312" w:hAnsi="仿宋_GB2312" w:eastAsia="仿宋_GB2312" w:cs="仿宋_GB2312"/>
          <w:sz w:val="32"/>
          <w:szCs w:val="32"/>
        </w:rPr>
      </w:pPr>
    </w:p>
    <w:p w14:paraId="1158BFB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特别说明：</w:t>
      </w:r>
    </w:p>
    <w:p w14:paraId="1464681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（一）将所有商务技术评价指标所得实际评价分数相加，即为该投标人的商务技术评价得分，所有评委评出的商务技术评价得分取平均值为该投标人的商务技术标得分。</w:t>
      </w:r>
    </w:p>
    <w:p w14:paraId="682BD86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（二）经济价格标得分=(评标基准价/投标报价)×价格指标权重×100。</w:t>
      </w:r>
    </w:p>
    <w:p w14:paraId="2172FF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上述公式中的“评标基准价”是指满足</w:t>
      </w:r>
      <w:r>
        <w:rPr>
          <w:rFonts w:hint="eastAsia" w:ascii="仿宋_GB2312" w:hAnsi="仿宋_GB2312" w:eastAsia="仿宋_GB2312" w:cs="仿宋_GB2312"/>
          <w:sz w:val="32"/>
          <w:szCs w:val="32"/>
          <w:lang w:val="en-US" w:eastAsia="zh-CN"/>
        </w:rPr>
        <w:t>项目采购需求</w:t>
      </w:r>
      <w:r>
        <w:rPr>
          <w:rFonts w:hint="eastAsia" w:ascii="仿宋_GB2312" w:hAnsi="仿宋_GB2312" w:eastAsia="仿宋_GB2312" w:cs="仿宋_GB2312"/>
          <w:sz w:val="32"/>
          <w:szCs w:val="32"/>
        </w:rPr>
        <w:t>且经评审后的最低评审价格，其价格分为满分。上述公式中的“投标报价”是指经评审后的投标报价。</w:t>
      </w:r>
    </w:p>
    <w:p w14:paraId="0EE49EE0">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投标最终得分 = 商务标得分 + 技术标得分＋经济价格标得分。</w:t>
      </w:r>
    </w:p>
    <w:p w14:paraId="6648C001">
      <w:pPr>
        <w:rPr>
          <w:rFonts w:ascii="仿宋" w:hAnsi="仿宋" w:eastAsia="仿宋"/>
          <w:sz w:val="24"/>
        </w:rPr>
      </w:pPr>
    </w:p>
    <w:p w14:paraId="217AED77">
      <w:pPr>
        <w:pStyle w:val="5"/>
        <w:rPr>
          <w:rFonts w:ascii="仿宋" w:hAnsi="仿宋" w:eastAsia="仿宋"/>
          <w:sz w:val="24"/>
        </w:rPr>
      </w:pPr>
    </w:p>
    <w:tbl>
      <w:tblPr>
        <w:tblStyle w:val="11"/>
        <w:tblpPr w:leftFromText="180" w:rightFromText="180" w:vertAnchor="text" w:horzAnchor="page" w:tblpX="1307" w:tblpY="-3"/>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60"/>
        <w:gridCol w:w="6610"/>
      </w:tblGrid>
      <w:tr w14:paraId="55B2C082">
        <w:trPr>
          <w:trHeight w:val="494"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3AB66B73">
            <w:pPr>
              <w:spacing w:line="360" w:lineRule="auto"/>
              <w:jc w:val="center"/>
              <w:rPr>
                <w:rFonts w:ascii="宋体" w:hAnsi="宋体"/>
                <w:sz w:val="24"/>
              </w:rPr>
            </w:pPr>
            <w:r>
              <w:rPr>
                <w:rFonts w:hint="eastAsia" w:ascii="宋体" w:hAnsi="宋体"/>
                <w:b/>
                <w:bCs/>
                <w:sz w:val="24"/>
              </w:rPr>
              <w:t>1、技术部分（</w:t>
            </w:r>
            <w:r>
              <w:rPr>
                <w:rFonts w:hint="eastAsia" w:ascii="宋体" w:hAnsi="宋体"/>
                <w:b/>
                <w:bCs/>
                <w:sz w:val="24"/>
                <w:lang w:val="en-US" w:eastAsia="zh-CN"/>
              </w:rPr>
              <w:t>6</w:t>
            </w:r>
            <w:r>
              <w:rPr>
                <w:rFonts w:hint="eastAsia" w:ascii="宋体" w:hAnsi="宋体"/>
                <w:b/>
                <w:bCs/>
                <w:sz w:val="24"/>
              </w:rPr>
              <w:t>0分）</w:t>
            </w:r>
          </w:p>
        </w:tc>
      </w:tr>
      <w:tr w14:paraId="3C23F947">
        <w:trPr>
          <w:trHeight w:val="90" w:hRule="atLeast"/>
        </w:trPr>
        <w:tc>
          <w:tcPr>
            <w:tcW w:w="1245" w:type="dxa"/>
            <w:tcBorders>
              <w:top w:val="single" w:color="auto" w:sz="4" w:space="0"/>
              <w:left w:val="single" w:color="auto" w:sz="4" w:space="0"/>
              <w:bottom w:val="single" w:color="auto" w:sz="4" w:space="0"/>
              <w:right w:val="single" w:color="auto" w:sz="4" w:space="0"/>
            </w:tcBorders>
            <w:vAlign w:val="center"/>
          </w:tcPr>
          <w:p w14:paraId="52451A3F">
            <w:pPr>
              <w:spacing w:line="360" w:lineRule="auto"/>
              <w:jc w:val="center"/>
              <w:rPr>
                <w:rFonts w:ascii="宋体" w:hAnsi="宋体"/>
                <w:sz w:val="24"/>
              </w:rPr>
            </w:pPr>
            <w:r>
              <w:rPr>
                <w:rFonts w:hint="eastAsia" w:ascii="宋体" w:hAnsi="宋体"/>
                <w:sz w:val="24"/>
              </w:rPr>
              <w:t>评价指标</w:t>
            </w:r>
          </w:p>
        </w:tc>
        <w:tc>
          <w:tcPr>
            <w:tcW w:w="1760" w:type="dxa"/>
            <w:tcBorders>
              <w:top w:val="single" w:color="auto" w:sz="4" w:space="0"/>
              <w:left w:val="single" w:color="auto" w:sz="4" w:space="0"/>
              <w:bottom w:val="single" w:color="auto" w:sz="4" w:space="0"/>
              <w:right w:val="single" w:color="auto" w:sz="4" w:space="0"/>
            </w:tcBorders>
            <w:vAlign w:val="center"/>
          </w:tcPr>
          <w:p w14:paraId="2D35B692">
            <w:pPr>
              <w:spacing w:line="360" w:lineRule="auto"/>
              <w:jc w:val="center"/>
              <w:rPr>
                <w:rFonts w:ascii="宋体" w:hAnsi="宋体"/>
                <w:sz w:val="24"/>
              </w:rPr>
            </w:pPr>
            <w:r>
              <w:rPr>
                <w:rFonts w:hint="eastAsia" w:ascii="宋体" w:hAnsi="宋体"/>
                <w:sz w:val="24"/>
              </w:rPr>
              <w:t>分项分值</w:t>
            </w:r>
          </w:p>
        </w:tc>
        <w:tc>
          <w:tcPr>
            <w:tcW w:w="6610" w:type="dxa"/>
            <w:tcBorders>
              <w:top w:val="single" w:color="auto" w:sz="4" w:space="0"/>
              <w:left w:val="single" w:color="auto" w:sz="4" w:space="0"/>
              <w:bottom w:val="single" w:color="auto" w:sz="4" w:space="0"/>
              <w:right w:val="single" w:color="auto" w:sz="4" w:space="0"/>
            </w:tcBorders>
            <w:vAlign w:val="center"/>
          </w:tcPr>
          <w:p w14:paraId="1E6D469C">
            <w:pPr>
              <w:spacing w:line="360" w:lineRule="auto"/>
              <w:jc w:val="center"/>
              <w:rPr>
                <w:rFonts w:ascii="宋体" w:hAnsi="宋体"/>
                <w:sz w:val="24"/>
              </w:rPr>
            </w:pPr>
            <w:r>
              <w:rPr>
                <w:rFonts w:hint="eastAsia" w:ascii="宋体" w:hAnsi="宋体"/>
                <w:sz w:val="24"/>
              </w:rPr>
              <w:t>评分细则</w:t>
            </w:r>
          </w:p>
        </w:tc>
      </w:tr>
      <w:tr w14:paraId="3129F868">
        <w:trPr>
          <w:trHeight w:val="300" w:hRule="atLeast"/>
        </w:trPr>
        <w:tc>
          <w:tcPr>
            <w:tcW w:w="1245" w:type="dxa"/>
            <w:vMerge w:val="restart"/>
            <w:tcBorders>
              <w:top w:val="single" w:color="auto" w:sz="4" w:space="0"/>
              <w:left w:val="single" w:color="auto" w:sz="4" w:space="0"/>
              <w:right w:val="single" w:color="auto" w:sz="4" w:space="0"/>
            </w:tcBorders>
            <w:vAlign w:val="center"/>
          </w:tcPr>
          <w:p w14:paraId="55AB5002">
            <w:pPr>
              <w:adjustRightInd w:val="0"/>
              <w:snapToGrid w:val="0"/>
              <w:spacing w:line="360" w:lineRule="auto"/>
              <w:ind w:left="-6"/>
              <w:jc w:val="center"/>
              <w:rPr>
                <w:rFonts w:ascii="宋体" w:hAnsi="宋体"/>
                <w:sz w:val="24"/>
              </w:rPr>
            </w:pPr>
            <w:r>
              <w:rPr>
                <w:rFonts w:hint="eastAsia" w:ascii="宋体" w:hAnsi="宋体"/>
                <w:sz w:val="24"/>
                <w:lang w:val="en-US" w:eastAsia="zh-CN"/>
              </w:rPr>
              <w:t>运维运营服务</w:t>
            </w:r>
            <w:r>
              <w:rPr>
                <w:rFonts w:hint="eastAsia" w:ascii="宋体" w:hAnsi="宋体"/>
                <w:sz w:val="24"/>
              </w:rPr>
              <w:t>方案</w:t>
            </w:r>
          </w:p>
          <w:p w14:paraId="02527FFD">
            <w:pPr>
              <w:adjustRightInd w:val="0"/>
              <w:snapToGrid w:val="0"/>
              <w:spacing w:line="360" w:lineRule="auto"/>
              <w:ind w:left="-6"/>
              <w:rPr>
                <w:rFonts w:ascii="宋体" w:hAnsi="宋体"/>
                <w:sz w:val="24"/>
              </w:rPr>
            </w:pPr>
            <w:r>
              <w:rPr>
                <w:rFonts w:hint="eastAsia" w:ascii="宋体" w:hAnsi="宋体"/>
                <w:sz w:val="24"/>
              </w:rPr>
              <w:t>（</w:t>
            </w:r>
            <w:r>
              <w:rPr>
                <w:rFonts w:hint="eastAsia" w:ascii="宋体" w:hAnsi="宋体"/>
                <w:sz w:val="24"/>
                <w:lang w:val="en-US" w:eastAsia="zh-CN"/>
              </w:rPr>
              <w:t>60</w:t>
            </w:r>
            <w:r>
              <w:rPr>
                <w:rFonts w:hint="eastAsia" w:ascii="宋体" w:hAnsi="宋体"/>
                <w:sz w:val="24"/>
              </w:rPr>
              <w:t>分）</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02D8292A">
            <w:pPr>
              <w:spacing w:line="360" w:lineRule="auto"/>
              <w:jc w:val="center"/>
              <w:rPr>
                <w:rFonts w:hint="eastAsia" w:ascii="宋体" w:hAnsi="宋体"/>
                <w:sz w:val="24"/>
                <w:lang w:val="en-US" w:eastAsia="zh-CN"/>
              </w:rPr>
            </w:pPr>
            <w:r>
              <w:rPr>
                <w:rFonts w:hint="eastAsia" w:ascii="宋体" w:hAnsi="宋体"/>
                <w:sz w:val="24"/>
                <w:lang w:val="en-US" w:eastAsia="zh-CN"/>
              </w:rPr>
              <w:t>服务方案</w:t>
            </w:r>
          </w:p>
          <w:p w14:paraId="19698004">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30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2C9C7402">
            <w:pPr>
              <w:numPr>
                <w:ilvl w:val="0"/>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根据投标人提供的运维运营服务方案（包括但</w:t>
            </w:r>
            <w:r>
              <w:rPr>
                <w:rFonts w:hint="eastAsia" w:ascii="宋体" w:hAnsi="宋体" w:cs="宋体"/>
                <w:sz w:val="24"/>
                <w:szCs w:val="24"/>
                <w:highlight w:val="none"/>
                <w:lang w:val="en-US" w:eastAsia="zh-CN"/>
              </w:rPr>
              <w:t>不限于</w:t>
            </w:r>
            <w:r>
              <w:rPr>
                <w:rFonts w:hint="eastAsia" w:ascii="宋体" w:hAnsi="宋体" w:cs="宋体"/>
                <w:color w:val="auto"/>
                <w:sz w:val="24"/>
                <w:szCs w:val="24"/>
                <w:highlight w:val="none"/>
                <w:lang w:val="en-US" w:eastAsia="zh-CN"/>
              </w:rPr>
              <w:t>运维服务内容、运营服务内容、数据管理内容</w:t>
            </w:r>
            <w:r>
              <w:rPr>
                <w:rFonts w:hint="eastAsia" w:ascii="宋体" w:hAnsi="宋体"/>
                <w:color w:val="000000"/>
                <w:sz w:val="24"/>
                <w:highlight w:val="none"/>
                <w:lang w:val="en-US" w:eastAsia="zh-CN"/>
              </w:rPr>
              <w:t>）内容进行评比：</w:t>
            </w:r>
          </w:p>
          <w:p w14:paraId="69ADC6B2">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（1）运维服务内容（10分）：</w:t>
            </w:r>
          </w:p>
          <w:p w14:paraId="56992542">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①完整覆盖本项目运维服务内容，包括但不限于系统软件、网络、数据、日常维护、故障处置、台账数据管理、版本更新维护，完全匹配项目现有系统架构、业务流程，且具备详细落地步骤、阶段计划、管控措施等，得10分；</w:t>
            </w:r>
          </w:p>
          <w:p w14:paraId="3B5A6CED">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②涵盖80%以上运维服务内容，基本匹配项目系统架构，具备基础落地流程，但细节不完善、针对性一般的，得7分；</w:t>
            </w:r>
          </w:p>
          <w:p w14:paraId="021AAB00">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③涵盖60%-79%运维服务内容，仅为运维通用模板，与本项目业务场景适配性较弱的，得5分；</w:t>
            </w:r>
          </w:p>
          <w:p w14:paraId="462EF6BD">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④服务方案的内容不全面，涵盖运维服务内容不足60%，无具体实施流程、保障措施的，未概括运维服务内容的日常需求，得3分；</w:t>
            </w:r>
          </w:p>
          <w:p w14:paraId="40E87CF7">
            <w:pPr>
              <w:numPr>
                <w:ilvl w:val="-1"/>
                <w:numId w:val="0"/>
              </w:numPr>
              <w:spacing w:line="360" w:lineRule="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⑤未提供相关内容，不得分。</w:t>
            </w:r>
          </w:p>
          <w:p w14:paraId="69985588">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（2）运营服务内容（10分）：</w:t>
            </w:r>
          </w:p>
          <w:p w14:paraId="63138280">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①提供完整的政策常态化解读机制、系统配套动态调整流程，明确专人负责政策更新研判、业务答疑、系统适配优化，方案详实可落地，得10分；</w:t>
            </w:r>
          </w:p>
          <w:p w14:paraId="211FB398">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②具备</w:t>
            </w:r>
            <w:bookmarkStart w:id="0" w:name="OLE_LINK2"/>
            <w:r>
              <w:rPr>
                <w:rFonts w:hint="eastAsia" w:ascii="宋体" w:hAnsi="宋体"/>
                <w:color w:val="000000"/>
                <w:sz w:val="24"/>
                <w:highlight w:val="none"/>
                <w:lang w:val="en-US" w:eastAsia="zh-CN"/>
              </w:rPr>
              <w:t>政策解读、业务指引、系统配套调整</w:t>
            </w:r>
            <w:bookmarkEnd w:id="0"/>
            <w:r>
              <w:rPr>
                <w:rFonts w:hint="eastAsia" w:ascii="宋体" w:hAnsi="宋体"/>
                <w:color w:val="000000"/>
                <w:sz w:val="24"/>
                <w:highlight w:val="none"/>
                <w:lang w:val="en-US" w:eastAsia="zh-CN"/>
              </w:rPr>
              <w:t>核心服务内容，有基础服务流程，但无专项保障机制的，得7分；</w:t>
            </w:r>
          </w:p>
          <w:p w14:paraId="0BAAEDE2">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③政策解读、业务指引、系统配套调整等核心运营服务内容覆盖不全面，仅为基础服务流程模板，无专项保障机制的，得5分；</w:t>
            </w:r>
          </w:p>
          <w:p w14:paraId="619A7EEC">
            <w:pPr>
              <w:numPr>
                <w:ilvl w:val="-1"/>
                <w:numId w:val="0"/>
              </w:numPr>
              <w:spacing w:line="360" w:lineRule="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④服务方案的内容不全面，仅简单提及业务运营服务内容，无具体实施流程，无专项保障机制的，得3分；</w:t>
            </w:r>
          </w:p>
          <w:p w14:paraId="7BEB4B32">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⑤未提供相关内容，不得分。</w:t>
            </w:r>
          </w:p>
          <w:p w14:paraId="12CFEDB9">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（3）数据管理内容（10分）：</w:t>
            </w:r>
          </w:p>
          <w:p w14:paraId="3FBC9E2F">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①具备完善的数据常态化统计、精准核验、定期数据分析、月度/季度数据报表产出机制，数据共享机制，同时建立标准化电子文件分类、归档、存储、备查、溯源全流程管理制度，全覆盖需求的，得10分；</w:t>
            </w:r>
          </w:p>
          <w:p w14:paraId="5A7A2279">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②具备数据统计、报表生成、电子文件归档核心服务流程，可满足基础数据运营需求，但缺乏数据分析、溯源管理细则的，得7分；</w:t>
            </w:r>
          </w:p>
          <w:p w14:paraId="6032DB75">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③仅提及数据统计、文件归档基础服务，无标准化流程、无常态化管理机制的，得5分；</w:t>
            </w:r>
          </w:p>
          <w:p w14:paraId="2C6FC544">
            <w:pPr>
              <w:numPr>
                <w:ilvl w:val="-1"/>
                <w:numId w:val="0"/>
              </w:num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④仅提及数据统计，无文件归档等基础服务的，得3分；</w:t>
            </w:r>
          </w:p>
          <w:p w14:paraId="1C45A2BE">
            <w:pPr>
              <w:numPr>
                <w:ilvl w:val="-1"/>
                <w:numId w:val="0"/>
              </w:numPr>
              <w:spacing w:line="360" w:lineRule="auto"/>
              <w:rPr>
                <w:rFonts w:hint="eastAsia" w:ascii="宋体" w:hAnsi="宋体" w:cs="宋体"/>
                <w:sz w:val="24"/>
                <w:szCs w:val="24"/>
                <w:highlight w:val="none"/>
                <w:lang w:val="en-US" w:eastAsia="zh-CN"/>
              </w:rPr>
            </w:pPr>
            <w:r>
              <w:rPr>
                <w:rFonts w:hint="eastAsia" w:ascii="宋体" w:hAnsi="宋体"/>
                <w:color w:val="000000"/>
                <w:sz w:val="24"/>
                <w:highlight w:val="none"/>
                <w:lang w:val="en-US" w:eastAsia="zh-CN"/>
              </w:rPr>
              <w:t xml:space="preserve">⑤未提供相关内容，不得分。 </w:t>
            </w:r>
          </w:p>
        </w:tc>
      </w:tr>
      <w:tr w14:paraId="72E28FED">
        <w:trPr>
          <w:trHeight w:val="3206" w:hRule="atLeast"/>
        </w:trPr>
        <w:tc>
          <w:tcPr>
            <w:tcW w:w="1245" w:type="dxa"/>
            <w:vMerge w:val="continue"/>
            <w:tcBorders>
              <w:left w:val="single" w:color="auto" w:sz="4" w:space="0"/>
              <w:right w:val="single" w:color="auto" w:sz="4" w:space="0"/>
            </w:tcBorders>
            <w:vAlign w:val="center"/>
          </w:tcPr>
          <w:p w14:paraId="40B1635B">
            <w:pPr>
              <w:adjustRightInd w:val="0"/>
              <w:snapToGrid w:val="0"/>
              <w:spacing w:line="360" w:lineRule="auto"/>
              <w:ind w:left="-6"/>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5D6B6BE8">
            <w:pPr>
              <w:spacing w:line="360" w:lineRule="auto"/>
              <w:jc w:val="center"/>
              <w:rPr>
                <w:rFonts w:hint="eastAsia" w:ascii="宋体" w:hAnsi="宋体"/>
                <w:sz w:val="24"/>
                <w:lang w:val="en-US" w:eastAsia="zh-CN"/>
              </w:rPr>
            </w:pPr>
            <w:r>
              <w:rPr>
                <w:rFonts w:hint="eastAsia" w:ascii="宋体" w:hAnsi="宋体"/>
                <w:sz w:val="24"/>
                <w:lang w:val="en-US" w:eastAsia="zh-CN"/>
              </w:rPr>
              <w:t>项目管理</w:t>
            </w:r>
          </w:p>
          <w:p w14:paraId="6DADA4F4">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2E34EE8B">
            <w:pPr>
              <w:spacing w:line="360" w:lineRule="auto"/>
              <w:rPr>
                <w:rFonts w:hint="eastAsia" w:ascii="宋体" w:hAnsi="宋体"/>
                <w:color w:val="000000"/>
                <w:sz w:val="24"/>
                <w:highlight w:val="none"/>
                <w:lang w:val="en-US" w:eastAsia="zh-CN"/>
              </w:rPr>
            </w:pPr>
            <w:bookmarkStart w:id="1" w:name="OLE_LINK1"/>
            <w:r>
              <w:rPr>
                <w:rFonts w:hint="eastAsia" w:ascii="宋体" w:hAnsi="宋体"/>
                <w:color w:val="000000"/>
                <w:sz w:val="24"/>
                <w:highlight w:val="none"/>
                <w:lang w:val="en-US" w:eastAsia="zh-CN"/>
              </w:rPr>
              <w:t>根据项目管理方案中的工作安排与计划、实施组织管理、项目保障措施等内容进行评</w:t>
            </w:r>
            <w:bookmarkEnd w:id="1"/>
            <w:r>
              <w:rPr>
                <w:rFonts w:hint="eastAsia" w:ascii="宋体" w:hAnsi="宋体"/>
                <w:color w:val="000000"/>
                <w:sz w:val="24"/>
                <w:highlight w:val="none"/>
                <w:lang w:val="en-US" w:eastAsia="zh-CN"/>
              </w:rPr>
              <w:t>定：</w:t>
            </w:r>
          </w:p>
          <w:p w14:paraId="01EA1524">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w:t>
            </w:r>
            <w:r>
              <w:rPr>
                <w:rFonts w:hint="default" w:ascii="宋体" w:hAnsi="宋体"/>
                <w:color w:val="000000"/>
                <w:sz w:val="24"/>
                <w:highlight w:val="none"/>
                <w:lang w:val="en-US" w:eastAsia="zh-CN"/>
              </w:rPr>
              <w:t>1</w:t>
            </w:r>
            <w:r>
              <w:rPr>
                <w:rFonts w:hint="eastAsia" w:ascii="宋体" w:hAnsi="宋体"/>
                <w:color w:val="000000"/>
                <w:sz w:val="24"/>
                <w:highlight w:val="none"/>
                <w:lang w:val="en-US" w:eastAsia="zh-CN"/>
              </w:rPr>
              <w:t>）工作安排与计划（7分）：</w:t>
            </w:r>
          </w:p>
          <w:p w14:paraId="4DDA281B">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①能够制定全周期运维工作总体规划、阶段性实施计划、月度/季度工作任务清单、进度管控计划、工作复盘计划，明确各阶段工作内容、时间节点、工作目标、责任人员、交付成果，计划贴合本项目业务场景，逻辑完整、落地性极强，得7分；</w:t>
            </w:r>
          </w:p>
          <w:p w14:paraId="207F4579">
            <w:pPr>
              <w:spacing w:line="360" w:lineRule="auto"/>
              <w:rPr>
                <w:rFonts w:hint="eastAsia" w:ascii="宋体" w:hAnsi="宋体"/>
                <w:color w:val="000000"/>
                <w:sz w:val="24"/>
                <w:highlight w:val="none"/>
                <w:lang w:eastAsia="zh-CN"/>
              </w:rPr>
            </w:pPr>
            <w:r>
              <w:rPr>
                <w:rFonts w:hint="eastAsia" w:ascii="宋体" w:hAnsi="宋体"/>
                <w:color w:val="000000"/>
                <w:sz w:val="24"/>
                <w:highlight w:val="none"/>
                <w:lang w:val="en-US" w:eastAsia="zh-CN"/>
              </w:rPr>
              <w:t>②</w:t>
            </w:r>
            <w:r>
              <w:rPr>
                <w:rFonts w:hint="eastAsia" w:ascii="宋体" w:hAnsi="宋体"/>
                <w:color w:val="000000"/>
                <w:sz w:val="24"/>
                <w:highlight w:val="none"/>
              </w:rPr>
              <w:t>具备整体运维工作安排及基础阶段计划，但缺少细化任务清单或进度管控、复盘机制，计划整体合理、基本适配项目需求，得</w:t>
            </w:r>
            <w:r>
              <w:rPr>
                <w:rFonts w:hint="eastAsia" w:ascii="宋体" w:hAnsi="宋体"/>
                <w:color w:val="000000"/>
                <w:sz w:val="24"/>
                <w:highlight w:val="none"/>
                <w:lang w:val="en-US" w:eastAsia="zh-CN"/>
              </w:rPr>
              <w:t>5</w:t>
            </w:r>
            <w:r>
              <w:rPr>
                <w:rFonts w:hint="eastAsia" w:ascii="宋体" w:hAnsi="宋体"/>
                <w:color w:val="000000"/>
                <w:sz w:val="24"/>
                <w:highlight w:val="none"/>
              </w:rPr>
              <w:t>分</w:t>
            </w:r>
            <w:r>
              <w:rPr>
                <w:rFonts w:hint="eastAsia" w:ascii="宋体" w:hAnsi="宋体"/>
                <w:color w:val="000000"/>
                <w:sz w:val="24"/>
                <w:highlight w:val="none"/>
                <w:lang w:eastAsia="zh-CN"/>
              </w:rPr>
              <w:t>；</w:t>
            </w:r>
          </w:p>
          <w:p w14:paraId="0B151E8A">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③仅提供简单的工作概述，无明确阶段划分、时间节点及工作安排，计划内容简略、针对性较弱，得3分；</w:t>
            </w:r>
          </w:p>
          <w:p w14:paraId="6C5A4022">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④未提供工作安排及计划内容，不得分。</w:t>
            </w:r>
          </w:p>
          <w:p w14:paraId="1289C06B">
            <w:pPr>
              <w:spacing w:line="360" w:lineRule="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（2）</w:t>
            </w:r>
            <w:bookmarkStart w:id="2" w:name="OLE_LINK3"/>
            <w:r>
              <w:rPr>
                <w:rFonts w:hint="eastAsia" w:ascii="宋体" w:hAnsi="宋体"/>
                <w:color w:val="000000"/>
                <w:sz w:val="24"/>
                <w:highlight w:val="none"/>
                <w:lang w:val="en-US" w:eastAsia="zh-CN"/>
              </w:rPr>
              <w:t>实施组织管理</w:t>
            </w:r>
            <w:bookmarkEnd w:id="2"/>
            <w:r>
              <w:rPr>
                <w:rFonts w:hint="eastAsia" w:ascii="宋体" w:hAnsi="宋体"/>
                <w:color w:val="000000"/>
                <w:sz w:val="24"/>
                <w:highlight w:val="none"/>
                <w:lang w:val="en-US" w:eastAsia="zh-CN"/>
              </w:rPr>
              <w:t>（7分）：</w:t>
            </w:r>
          </w:p>
          <w:p w14:paraId="73CF70F4">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①搭建完善的项目实施组织架构，明确项目经理、技术负责人、运维工程师、驻场人员等全部岗位权责、工作分工及协同机制，组织体系健全、权责清晰、完全适配项目运维需求，得7分；</w:t>
            </w:r>
          </w:p>
          <w:p w14:paraId="13904B76">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②具备完整的项目组织架构及核心岗位职责，但协同管理等配套机制不完善，组织管理基本可行，得5分；</w:t>
            </w:r>
          </w:p>
          <w:p w14:paraId="7D1667CE">
            <w:pPr>
              <w:spacing w:line="360" w:lineRule="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③仅简单罗列组织人员及基础岗位，无明确权责划分和组织管理机制，体系不完善，得3分；</w:t>
            </w:r>
          </w:p>
          <w:p w14:paraId="58677DB6">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④未提供实施组织管理相关方案，不得分。</w:t>
            </w:r>
          </w:p>
          <w:p w14:paraId="75BFBA8B">
            <w:pPr>
              <w:spacing w:line="360" w:lineRule="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（3）项目保障措施（6分）：</w:t>
            </w:r>
          </w:p>
          <w:p w14:paraId="3398606E">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①方案完整包含服务质量保障、7*24小时值守响应保障、系统安全运行保障、故障应急处置保障、项目风险预判与防控等5项或以上保障措施，措施具体、流程清晰、权责明确，可落地性强，全面覆盖项目运维各类场景，得6分；</w:t>
            </w:r>
          </w:p>
          <w:p w14:paraId="06D39B7E">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②包含3-4项核心保障措施，保障体系基本完整，但部分措施细节简略、针对性不足，得4分；</w:t>
            </w:r>
          </w:p>
          <w:p w14:paraId="54290CE4">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③仅提供1-2项基础保障内容，保障维度单一，无法全面支撑项目运维工作，得2分；</w:t>
            </w:r>
          </w:p>
          <w:p w14:paraId="319D9E4A">
            <w:pPr>
              <w:spacing w:line="360" w:lineRule="auto"/>
              <w:rPr>
                <w:rFonts w:hint="eastAsia"/>
                <w:lang w:val="en-US" w:eastAsia="zh-CN"/>
              </w:rPr>
            </w:pPr>
            <w:r>
              <w:rPr>
                <w:rFonts w:hint="eastAsia" w:ascii="宋体" w:hAnsi="宋体"/>
                <w:color w:val="000000"/>
                <w:sz w:val="24"/>
                <w:highlight w:val="none"/>
                <w:lang w:val="en-US" w:eastAsia="zh-CN"/>
              </w:rPr>
              <w:t>④未提供保障措施方案，不得分。</w:t>
            </w:r>
          </w:p>
        </w:tc>
      </w:tr>
      <w:tr w14:paraId="6A6C058F">
        <w:trPr>
          <w:trHeight w:val="300" w:hRule="atLeast"/>
        </w:trPr>
        <w:tc>
          <w:tcPr>
            <w:tcW w:w="1245" w:type="dxa"/>
            <w:vMerge w:val="continue"/>
            <w:tcBorders>
              <w:left w:val="single" w:color="auto" w:sz="4" w:space="0"/>
              <w:right w:val="single" w:color="auto" w:sz="4" w:space="0"/>
            </w:tcBorders>
            <w:vAlign w:val="center"/>
          </w:tcPr>
          <w:p w14:paraId="199A2929">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31580BF8">
            <w:pPr>
              <w:spacing w:line="360" w:lineRule="auto"/>
              <w:jc w:val="center"/>
              <w:rPr>
                <w:rFonts w:hint="eastAsia" w:ascii="宋体" w:hAnsi="宋体"/>
                <w:sz w:val="24"/>
                <w:lang w:val="en-US" w:eastAsia="zh-CN"/>
              </w:rPr>
            </w:pPr>
            <w:r>
              <w:rPr>
                <w:rFonts w:hint="eastAsia" w:ascii="宋体" w:hAnsi="宋体"/>
                <w:sz w:val="24"/>
              </w:rPr>
              <w:t>服务</w:t>
            </w:r>
            <w:r>
              <w:rPr>
                <w:rFonts w:hint="eastAsia" w:ascii="宋体" w:hAnsi="宋体"/>
                <w:sz w:val="24"/>
                <w:lang w:val="en-US" w:eastAsia="zh-CN"/>
              </w:rPr>
              <w:t>承诺</w:t>
            </w:r>
          </w:p>
          <w:p w14:paraId="5CA5DEB0">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45865C46">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投标人承诺在接到采购人服务需1小时内赶到现场处理的，得</w:t>
            </w:r>
            <w:r>
              <w:rPr>
                <w:rFonts w:hint="default" w:ascii="宋体" w:hAnsi="宋体"/>
                <w:color w:val="000000"/>
                <w:sz w:val="24"/>
                <w:highlight w:val="none"/>
                <w:lang w:val="en-US" w:eastAsia="zh-CN"/>
              </w:rPr>
              <w:t>10</w:t>
            </w:r>
            <w:r>
              <w:rPr>
                <w:rFonts w:hint="eastAsia" w:ascii="宋体" w:hAnsi="宋体"/>
                <w:color w:val="000000"/>
                <w:sz w:val="24"/>
                <w:highlight w:val="none"/>
                <w:lang w:val="en-US" w:eastAsia="zh-CN"/>
              </w:rPr>
              <w:t>分；承诺在2小时内赶到现场处理的，得5分；其他情况不得分。</w:t>
            </w:r>
          </w:p>
          <w:p w14:paraId="1D1DEC9A">
            <w:pPr>
              <w:spacing w:line="360" w:lineRule="auto"/>
              <w:rPr>
                <w:rFonts w:ascii="宋体" w:hAnsi="宋体" w:eastAsia="宋体" w:cs="Times New Roman"/>
                <w:kern w:val="2"/>
                <w:sz w:val="24"/>
                <w:szCs w:val="24"/>
                <w:lang w:val="en-US" w:eastAsia="zh-CN" w:bidi="ar-SA"/>
              </w:rPr>
            </w:pPr>
            <w:r>
              <w:rPr>
                <w:rFonts w:hint="eastAsia" w:ascii="宋体" w:hAnsi="宋体"/>
                <w:color w:val="000000"/>
                <w:sz w:val="24"/>
                <w:highlight w:val="none"/>
                <w:lang w:val="en-US" w:eastAsia="zh-CN"/>
              </w:rPr>
              <w:t>注：需提供服务响应时间承诺（承诺函格式自拟并加盖公章），未提供或提供的资料不符合要求的，不得分。</w:t>
            </w:r>
          </w:p>
        </w:tc>
      </w:tr>
      <w:tr w14:paraId="1D18CEF7">
        <w:trPr>
          <w:trHeight w:val="469" w:hRule="atLeast"/>
        </w:trPr>
        <w:tc>
          <w:tcPr>
            <w:tcW w:w="9615" w:type="dxa"/>
            <w:gridSpan w:val="3"/>
            <w:tcBorders>
              <w:left w:val="single" w:color="auto" w:sz="4" w:space="0"/>
              <w:right w:val="single" w:color="auto" w:sz="4" w:space="0"/>
            </w:tcBorders>
            <w:vAlign w:val="center"/>
          </w:tcPr>
          <w:p w14:paraId="5FDB93FA">
            <w:pPr>
              <w:spacing w:line="360" w:lineRule="auto"/>
              <w:jc w:val="center"/>
              <w:rPr>
                <w:rFonts w:ascii="宋体" w:hAnsi="宋体"/>
                <w:sz w:val="24"/>
              </w:rPr>
            </w:pPr>
            <w:r>
              <w:rPr>
                <w:rFonts w:hint="eastAsia" w:ascii="宋体" w:hAnsi="宋体"/>
                <w:b/>
                <w:bCs/>
                <w:sz w:val="24"/>
              </w:rPr>
              <w:t>2、商务部分（</w:t>
            </w:r>
            <w:r>
              <w:rPr>
                <w:rFonts w:hint="eastAsia" w:ascii="宋体" w:hAnsi="宋体"/>
                <w:b/>
                <w:bCs/>
                <w:sz w:val="24"/>
                <w:lang w:val="en-US" w:eastAsia="zh-CN"/>
              </w:rPr>
              <w:t>3</w:t>
            </w:r>
            <w:r>
              <w:rPr>
                <w:rFonts w:hint="eastAsia" w:ascii="宋体" w:hAnsi="宋体"/>
                <w:b/>
                <w:bCs/>
                <w:sz w:val="24"/>
              </w:rPr>
              <w:t>0</w:t>
            </w:r>
            <w:r>
              <w:rPr>
                <w:rFonts w:hint="eastAsia" w:ascii="宋体" w:hAnsi="宋体"/>
                <w:b/>
                <w:bCs/>
                <w:sz w:val="24"/>
                <w:lang w:val="en-US" w:eastAsia="zh-CN"/>
              </w:rPr>
              <w:t>分</w:t>
            </w:r>
            <w:r>
              <w:rPr>
                <w:rFonts w:hint="eastAsia" w:ascii="宋体" w:hAnsi="宋体"/>
                <w:b/>
                <w:bCs/>
                <w:sz w:val="24"/>
              </w:rPr>
              <w:t>）</w:t>
            </w:r>
          </w:p>
        </w:tc>
      </w:tr>
      <w:tr w14:paraId="49BC424F">
        <w:trPr>
          <w:trHeight w:val="1857" w:hRule="atLeast"/>
        </w:trPr>
        <w:tc>
          <w:tcPr>
            <w:tcW w:w="1245" w:type="dxa"/>
            <w:vMerge w:val="restart"/>
            <w:tcBorders>
              <w:top w:val="single" w:color="auto" w:sz="4" w:space="0"/>
              <w:left w:val="single" w:color="auto" w:sz="4" w:space="0"/>
              <w:right w:val="single" w:color="auto" w:sz="4" w:space="0"/>
            </w:tcBorders>
            <w:vAlign w:val="center"/>
          </w:tcPr>
          <w:p w14:paraId="2AB4C491">
            <w:pPr>
              <w:widowControl/>
              <w:spacing w:line="360" w:lineRule="auto"/>
              <w:jc w:val="left"/>
              <w:rPr>
                <w:rFonts w:ascii="宋体" w:hAnsi="宋体"/>
                <w:sz w:val="24"/>
              </w:rPr>
            </w:pPr>
            <w:r>
              <w:rPr>
                <w:rFonts w:hint="eastAsia" w:ascii="宋体" w:hAnsi="宋体"/>
                <w:sz w:val="24"/>
                <w:lang w:val="en-US" w:eastAsia="zh-CN"/>
              </w:rPr>
              <w:t>综合实力</w:t>
            </w:r>
            <w:r>
              <w:rPr>
                <w:rFonts w:hint="eastAsia" w:ascii="宋体" w:hAnsi="宋体"/>
                <w:sz w:val="24"/>
              </w:rPr>
              <w:t>（</w:t>
            </w:r>
            <w:r>
              <w:rPr>
                <w:rFonts w:hint="eastAsia" w:ascii="宋体" w:hAnsi="宋体"/>
                <w:sz w:val="24"/>
                <w:lang w:val="en-US" w:eastAsia="zh-CN"/>
              </w:rPr>
              <w:t>3</w:t>
            </w:r>
            <w:r>
              <w:rPr>
                <w:rFonts w:hint="eastAsia" w:ascii="宋体" w:hAnsi="宋体"/>
                <w:sz w:val="24"/>
              </w:rPr>
              <w:t>0分）</w:t>
            </w:r>
          </w:p>
        </w:tc>
        <w:tc>
          <w:tcPr>
            <w:tcW w:w="1760" w:type="dxa"/>
            <w:tcBorders>
              <w:top w:val="single" w:color="auto" w:sz="4" w:space="0"/>
              <w:left w:val="single" w:color="auto" w:sz="4" w:space="0"/>
              <w:right w:val="single" w:color="auto" w:sz="4" w:space="0"/>
            </w:tcBorders>
            <w:shd w:val="clear" w:color="auto" w:fill="auto"/>
            <w:vAlign w:val="center"/>
          </w:tcPr>
          <w:p w14:paraId="2AF14540">
            <w:pPr>
              <w:spacing w:line="360" w:lineRule="auto"/>
              <w:jc w:val="both"/>
              <w:rPr>
                <w:rFonts w:hint="eastAsia" w:ascii="宋体" w:hAnsi="宋体"/>
                <w:sz w:val="24"/>
                <w:lang w:val="en-US" w:eastAsia="zh-CN"/>
              </w:rPr>
            </w:pPr>
            <w:r>
              <w:rPr>
                <w:rFonts w:hint="eastAsia" w:ascii="宋体" w:hAnsi="宋体"/>
                <w:sz w:val="24"/>
                <w:lang w:val="en-US" w:eastAsia="zh-CN"/>
              </w:rPr>
              <w:t>企业证书</w:t>
            </w: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040930F6">
            <w:pPr>
              <w:widowControl/>
              <w:spacing w:line="360" w:lineRule="auto"/>
              <w:rPr>
                <w:rFonts w:hint="eastAsia" w:ascii="宋体" w:hAnsi="宋体"/>
                <w:sz w:val="24"/>
                <w:lang w:val="en-US" w:eastAsia="zh-CN"/>
              </w:rPr>
            </w:pPr>
            <w:r>
              <w:rPr>
                <w:rFonts w:hint="eastAsia" w:ascii="宋体" w:hAnsi="宋体"/>
                <w:sz w:val="24"/>
                <w:lang w:val="en-US" w:eastAsia="zh-CN"/>
              </w:rPr>
              <w:t>（1）投标人获得</w:t>
            </w:r>
            <w:r>
              <w:rPr>
                <w:rFonts w:hint="default" w:ascii="宋体" w:hAnsi="宋体"/>
                <w:sz w:val="24"/>
                <w:lang w:val="en-US" w:eastAsia="zh-CN"/>
              </w:rPr>
              <w:t>ISO9001</w:t>
            </w:r>
            <w:r>
              <w:rPr>
                <w:rFonts w:hint="eastAsia" w:ascii="宋体" w:hAnsi="宋体"/>
                <w:sz w:val="24"/>
                <w:lang w:val="en-US" w:eastAsia="zh-CN"/>
              </w:rPr>
              <w:t>质量管理体系认证证书的，得</w:t>
            </w:r>
            <w:r>
              <w:rPr>
                <w:rFonts w:hint="default" w:ascii="宋体" w:hAnsi="宋体"/>
                <w:sz w:val="24"/>
                <w:lang w:val="en-US" w:eastAsia="zh-CN"/>
              </w:rPr>
              <w:t>5</w:t>
            </w:r>
            <w:r>
              <w:rPr>
                <w:rFonts w:hint="eastAsia" w:ascii="宋体" w:hAnsi="宋体"/>
                <w:sz w:val="24"/>
                <w:lang w:val="en-US" w:eastAsia="zh-CN"/>
              </w:rPr>
              <w:t>分，否则不得分；</w:t>
            </w:r>
          </w:p>
          <w:p w14:paraId="360B7CEE">
            <w:pPr>
              <w:widowControl/>
              <w:spacing w:line="360" w:lineRule="auto"/>
              <w:rPr>
                <w:rFonts w:hint="eastAsia" w:ascii="宋体" w:hAnsi="宋体"/>
                <w:sz w:val="24"/>
              </w:rPr>
            </w:pPr>
            <w:r>
              <w:rPr>
                <w:rFonts w:hint="eastAsia" w:ascii="宋体" w:hAnsi="宋体"/>
                <w:sz w:val="24"/>
                <w:lang w:val="en-US" w:eastAsia="zh-CN"/>
              </w:rPr>
              <w:t>（</w:t>
            </w:r>
            <w:r>
              <w:rPr>
                <w:rFonts w:hint="default" w:ascii="宋体" w:hAnsi="宋体"/>
                <w:sz w:val="24"/>
                <w:lang w:val="en-US" w:eastAsia="zh-CN"/>
              </w:rPr>
              <w:t>2</w:t>
            </w:r>
            <w:r>
              <w:rPr>
                <w:rFonts w:hint="eastAsia" w:ascii="宋体" w:hAnsi="宋体"/>
                <w:sz w:val="24"/>
                <w:lang w:val="en-US" w:eastAsia="zh-CN"/>
              </w:rPr>
              <w:t>）投标人获得计算机信息系统安全服务等级证书，得</w:t>
            </w:r>
            <w:r>
              <w:rPr>
                <w:rFonts w:hint="default" w:ascii="宋体" w:hAnsi="宋体"/>
                <w:sz w:val="24"/>
                <w:lang w:val="en-US" w:eastAsia="zh-CN"/>
              </w:rPr>
              <w:t>5</w:t>
            </w:r>
            <w:r>
              <w:rPr>
                <w:rFonts w:hint="eastAsia" w:ascii="宋体" w:hAnsi="宋体"/>
                <w:sz w:val="24"/>
                <w:lang w:val="en-US" w:eastAsia="zh-CN"/>
              </w:rPr>
              <w:t>分，否则不得分。</w:t>
            </w:r>
          </w:p>
        </w:tc>
      </w:tr>
      <w:tr w14:paraId="662C1F4F">
        <w:trPr>
          <w:trHeight w:val="1857" w:hRule="atLeast"/>
        </w:trPr>
        <w:tc>
          <w:tcPr>
            <w:tcW w:w="1245" w:type="dxa"/>
            <w:vMerge w:val="continue"/>
            <w:tcBorders>
              <w:left w:val="single" w:color="auto" w:sz="4" w:space="0"/>
              <w:right w:val="single" w:color="auto" w:sz="4" w:space="0"/>
            </w:tcBorders>
            <w:vAlign w:val="center"/>
          </w:tcPr>
          <w:p w14:paraId="4BEA1DC2">
            <w:pPr>
              <w:widowControl/>
              <w:spacing w:line="360" w:lineRule="auto"/>
              <w:jc w:val="left"/>
              <w:rPr>
                <w:rFonts w:ascii="宋体" w:hAnsi="宋体"/>
                <w:sz w:val="24"/>
              </w:rPr>
            </w:pPr>
          </w:p>
        </w:tc>
        <w:tc>
          <w:tcPr>
            <w:tcW w:w="1760" w:type="dxa"/>
            <w:tcBorders>
              <w:top w:val="single" w:color="auto" w:sz="4" w:space="0"/>
              <w:left w:val="single" w:color="auto" w:sz="4" w:space="0"/>
              <w:right w:val="single" w:color="auto" w:sz="4" w:space="0"/>
            </w:tcBorders>
            <w:shd w:val="clear" w:color="auto" w:fill="auto"/>
            <w:vAlign w:val="center"/>
          </w:tcPr>
          <w:p w14:paraId="00BD7965">
            <w:pPr>
              <w:spacing w:line="360" w:lineRule="auto"/>
              <w:jc w:val="center"/>
              <w:rPr>
                <w:rFonts w:hint="eastAsia" w:ascii="宋体" w:hAnsi="宋体"/>
                <w:sz w:val="24"/>
                <w:lang w:val="en-US" w:eastAsia="zh-CN"/>
              </w:rPr>
            </w:pPr>
          </w:p>
          <w:p w14:paraId="7FEFA3BF">
            <w:pPr>
              <w:spacing w:line="360" w:lineRule="auto"/>
              <w:jc w:val="both"/>
              <w:rPr>
                <w:rFonts w:ascii="宋体" w:hAnsi="宋体" w:eastAsia="宋体" w:cs="Times New Roman"/>
                <w:kern w:val="2"/>
                <w:sz w:val="24"/>
                <w:szCs w:val="24"/>
                <w:lang w:val="en-US" w:eastAsia="zh-CN" w:bidi="ar-SA"/>
              </w:rPr>
            </w:pPr>
            <w:r>
              <w:rPr>
                <w:rFonts w:hint="eastAsia" w:ascii="宋体" w:hAnsi="宋体"/>
                <w:sz w:val="24"/>
                <w:lang w:val="en-US" w:eastAsia="zh-CN"/>
              </w:rPr>
              <w:t>项目经验</w:t>
            </w: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5BF110FE">
            <w:pPr>
              <w:widowControl/>
              <w:spacing w:line="360" w:lineRule="auto"/>
              <w:rPr>
                <w:rFonts w:ascii="宋体" w:hAnsi="宋体"/>
                <w:sz w:val="24"/>
              </w:rPr>
            </w:pPr>
            <w:r>
              <w:rPr>
                <w:rFonts w:hint="eastAsia" w:ascii="宋体" w:hAnsi="宋体"/>
                <w:sz w:val="24"/>
              </w:rPr>
              <w:t>投标人承接过</w:t>
            </w:r>
            <w:r>
              <w:rPr>
                <w:rFonts w:hint="eastAsia" w:ascii="宋体" w:hAnsi="宋体"/>
                <w:sz w:val="24"/>
                <w:lang w:val="en-US" w:eastAsia="zh-CN"/>
              </w:rPr>
              <w:t>房地产领域信息系统及住房保障管理平台</w:t>
            </w:r>
            <w:r>
              <w:rPr>
                <w:rFonts w:hint="eastAsia" w:ascii="宋体" w:hAnsi="宋体"/>
                <w:sz w:val="24"/>
              </w:rPr>
              <w:t>等相关</w:t>
            </w:r>
            <w:r>
              <w:rPr>
                <w:rFonts w:hint="eastAsia" w:ascii="宋体" w:hAnsi="宋体"/>
                <w:sz w:val="24"/>
                <w:lang w:val="en-US" w:eastAsia="zh-CN"/>
              </w:rPr>
              <w:t>运维或运营服务项目</w:t>
            </w:r>
            <w:r>
              <w:rPr>
                <w:rFonts w:hint="eastAsia" w:ascii="宋体" w:hAnsi="宋体"/>
                <w:sz w:val="24"/>
              </w:rPr>
              <w:t>，每个合同得</w:t>
            </w:r>
            <w:r>
              <w:rPr>
                <w:rFonts w:hint="eastAsia" w:ascii="宋体" w:hAnsi="宋体"/>
                <w:sz w:val="24"/>
                <w:lang w:val="en-US" w:eastAsia="zh-CN"/>
              </w:rPr>
              <w:t>2</w:t>
            </w:r>
            <w:r>
              <w:rPr>
                <w:rFonts w:hint="eastAsia" w:ascii="宋体" w:hAnsi="宋体"/>
                <w:sz w:val="24"/>
              </w:rPr>
              <w:t>分，最高得</w:t>
            </w:r>
            <w:r>
              <w:rPr>
                <w:rFonts w:hint="eastAsia" w:ascii="宋体" w:hAnsi="宋体"/>
                <w:sz w:val="24"/>
                <w:lang w:val="en-US" w:eastAsia="zh-CN"/>
              </w:rPr>
              <w:t>20</w:t>
            </w:r>
            <w:r>
              <w:rPr>
                <w:rFonts w:hint="eastAsia" w:ascii="宋体" w:hAnsi="宋体"/>
                <w:sz w:val="24"/>
              </w:rPr>
              <w:t>分。</w:t>
            </w:r>
          </w:p>
          <w:p w14:paraId="433BECA8">
            <w:pPr>
              <w:widowControl/>
              <w:spacing w:line="360" w:lineRule="auto"/>
              <w:rPr>
                <w:rFonts w:ascii="宋体" w:hAnsi="宋体" w:eastAsia="宋体" w:cs="Times New Roman"/>
                <w:kern w:val="2"/>
                <w:sz w:val="24"/>
                <w:szCs w:val="24"/>
                <w:lang w:val="en-US" w:eastAsia="zh-CN" w:bidi="ar-SA"/>
              </w:rPr>
            </w:pPr>
            <w:r>
              <w:rPr>
                <w:rFonts w:hint="eastAsia" w:ascii="宋体" w:hAnsi="宋体"/>
                <w:sz w:val="24"/>
              </w:rPr>
              <w:t>注：证明材料为合同，投标文件提供合同关键页复印件并加盖投标人公章，合同必须为投标人单位名称签订，否则不得分。</w:t>
            </w:r>
          </w:p>
        </w:tc>
      </w:tr>
      <w:tr w14:paraId="12C32C85">
        <w:trPr>
          <w:trHeight w:val="399" w:hRule="atLeast"/>
        </w:trPr>
        <w:tc>
          <w:tcPr>
            <w:tcW w:w="9615" w:type="dxa"/>
            <w:gridSpan w:val="3"/>
            <w:tcBorders>
              <w:left w:val="single" w:color="auto" w:sz="4" w:space="0"/>
              <w:right w:val="single" w:color="auto" w:sz="4" w:space="0"/>
            </w:tcBorders>
            <w:vAlign w:val="center"/>
          </w:tcPr>
          <w:p w14:paraId="563E97E2">
            <w:pPr>
              <w:keepNext/>
              <w:keepLines/>
              <w:spacing w:before="100" w:line="360" w:lineRule="auto"/>
              <w:ind w:firstLine="0" w:firstLineChars="0"/>
              <w:jc w:val="center"/>
              <w:rPr>
                <w:rFonts w:ascii="仿宋" w:hAnsi="仿宋" w:eastAsia="仿宋" w:cs="宋体"/>
                <w:b/>
                <w:sz w:val="24"/>
              </w:rPr>
            </w:pPr>
            <w:bookmarkStart w:id="3" w:name="_Toc496095010"/>
            <w:bookmarkStart w:id="4" w:name="_Toc496618262"/>
            <w:bookmarkStart w:id="5" w:name="_Toc13547"/>
            <w:bookmarkStart w:id="6" w:name="_Toc20642"/>
            <w:r>
              <w:rPr>
                <w:rFonts w:hint="eastAsia" w:ascii="宋体" w:hAnsi="宋体"/>
                <w:b/>
                <w:bCs/>
                <w:sz w:val="24"/>
              </w:rPr>
              <w:t>3、</w:t>
            </w:r>
            <w:r>
              <w:rPr>
                <w:rFonts w:hint="eastAsia" w:ascii="宋体" w:hAnsi="宋体"/>
                <w:b/>
                <w:bCs/>
                <w:sz w:val="24"/>
                <w:lang w:val="zh-CN"/>
              </w:rPr>
              <w:t>经济价格指标评（10分）</w:t>
            </w:r>
            <w:bookmarkEnd w:id="3"/>
            <w:bookmarkEnd w:id="4"/>
            <w:bookmarkEnd w:id="5"/>
            <w:bookmarkEnd w:id="6"/>
          </w:p>
        </w:tc>
      </w:tr>
      <w:tr w14:paraId="631D5F3D">
        <w:trPr>
          <w:trHeight w:val="439" w:hRule="atLeast"/>
        </w:trPr>
        <w:tc>
          <w:tcPr>
            <w:tcW w:w="1245" w:type="dxa"/>
            <w:tcBorders>
              <w:left w:val="single" w:color="auto" w:sz="4" w:space="0"/>
              <w:right w:val="single" w:color="auto" w:sz="4" w:space="0"/>
            </w:tcBorders>
            <w:vAlign w:val="center"/>
          </w:tcPr>
          <w:p w14:paraId="7E553CCD">
            <w:pPr>
              <w:spacing w:line="400" w:lineRule="exact"/>
              <w:jc w:val="center"/>
              <w:rPr>
                <w:rFonts w:ascii="仿宋" w:hAnsi="仿宋" w:eastAsia="仿宋" w:cs="宋体"/>
                <w:sz w:val="24"/>
              </w:rPr>
            </w:pPr>
            <w:r>
              <w:rPr>
                <w:rFonts w:hint="eastAsia" w:ascii="宋体" w:hAnsi="宋体"/>
                <w:sz w:val="24"/>
              </w:rPr>
              <w:t>评审指标</w:t>
            </w:r>
          </w:p>
        </w:tc>
        <w:tc>
          <w:tcPr>
            <w:tcW w:w="1760" w:type="dxa"/>
            <w:tcBorders>
              <w:left w:val="single" w:color="auto" w:sz="4" w:space="0"/>
              <w:right w:val="single" w:color="auto" w:sz="4" w:space="0"/>
            </w:tcBorders>
            <w:vAlign w:val="center"/>
          </w:tcPr>
          <w:p w14:paraId="645859B8">
            <w:pPr>
              <w:spacing w:line="400" w:lineRule="exact"/>
              <w:jc w:val="center"/>
              <w:rPr>
                <w:rFonts w:ascii="仿宋" w:hAnsi="仿宋" w:eastAsia="仿宋" w:cs="宋体"/>
                <w:sz w:val="24"/>
              </w:rPr>
            </w:pPr>
            <w:r>
              <w:rPr>
                <w:rFonts w:hint="eastAsia" w:ascii="宋体" w:hAnsi="宋体"/>
                <w:sz w:val="24"/>
              </w:rPr>
              <w:t>分值</w:t>
            </w:r>
          </w:p>
        </w:tc>
        <w:tc>
          <w:tcPr>
            <w:tcW w:w="6610" w:type="dxa"/>
            <w:tcBorders>
              <w:top w:val="single" w:color="auto" w:sz="4" w:space="0"/>
              <w:left w:val="single" w:color="auto" w:sz="4" w:space="0"/>
              <w:bottom w:val="single" w:color="auto" w:sz="4" w:space="0"/>
              <w:right w:val="single" w:color="auto" w:sz="4" w:space="0"/>
            </w:tcBorders>
            <w:vAlign w:val="center"/>
          </w:tcPr>
          <w:p w14:paraId="1ADCE92F">
            <w:pPr>
              <w:spacing w:line="400" w:lineRule="exact"/>
              <w:jc w:val="center"/>
              <w:rPr>
                <w:rFonts w:ascii="仿宋" w:hAnsi="仿宋" w:eastAsia="仿宋" w:cs="宋体"/>
                <w:b/>
                <w:sz w:val="24"/>
              </w:rPr>
            </w:pPr>
            <w:r>
              <w:rPr>
                <w:rFonts w:hint="eastAsia" w:ascii="宋体" w:hAnsi="宋体"/>
                <w:sz w:val="24"/>
              </w:rPr>
              <w:t>评分细则及分值范围</w:t>
            </w:r>
          </w:p>
        </w:tc>
      </w:tr>
      <w:tr w14:paraId="68E7B9A1">
        <w:trPr>
          <w:trHeight w:val="801" w:hRule="atLeast"/>
        </w:trPr>
        <w:tc>
          <w:tcPr>
            <w:tcW w:w="1245" w:type="dxa"/>
            <w:tcBorders>
              <w:left w:val="single" w:color="auto" w:sz="4" w:space="0"/>
              <w:right w:val="single" w:color="auto" w:sz="4" w:space="0"/>
            </w:tcBorders>
            <w:vAlign w:val="center"/>
          </w:tcPr>
          <w:p w14:paraId="1A653379">
            <w:pPr>
              <w:spacing w:line="360" w:lineRule="auto"/>
              <w:rPr>
                <w:rFonts w:ascii="仿宋" w:hAnsi="仿宋" w:eastAsia="仿宋" w:cs="宋体"/>
                <w:sz w:val="24"/>
              </w:rPr>
            </w:pPr>
            <w:r>
              <w:rPr>
                <w:rFonts w:hint="eastAsia" w:ascii="宋体" w:hAnsi="宋体"/>
                <w:sz w:val="24"/>
              </w:rPr>
              <w:t>经济价格</w:t>
            </w:r>
          </w:p>
        </w:tc>
        <w:tc>
          <w:tcPr>
            <w:tcW w:w="1760" w:type="dxa"/>
            <w:tcBorders>
              <w:left w:val="single" w:color="auto" w:sz="4" w:space="0"/>
              <w:right w:val="single" w:color="auto" w:sz="4" w:space="0"/>
            </w:tcBorders>
            <w:vAlign w:val="center"/>
          </w:tcPr>
          <w:p w14:paraId="0B350829">
            <w:pPr>
              <w:spacing w:line="360" w:lineRule="auto"/>
              <w:jc w:val="center"/>
              <w:rPr>
                <w:rFonts w:ascii="仿宋" w:hAnsi="仿宋" w:eastAsia="仿宋" w:cs="宋体"/>
                <w:sz w:val="24"/>
              </w:rPr>
            </w:pP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14:paraId="489E7F54">
            <w:pPr>
              <w:spacing w:line="400" w:lineRule="exact"/>
              <w:rPr>
                <w:rFonts w:ascii="宋体" w:hAnsi="宋体"/>
                <w:sz w:val="24"/>
              </w:rPr>
            </w:pPr>
            <w:r>
              <w:rPr>
                <w:rFonts w:hint="eastAsia" w:ascii="宋体" w:hAnsi="宋体"/>
                <w:sz w:val="24"/>
              </w:rPr>
              <w:t>经济价格标得分=(评标基准价/投标报价)×100×</w:t>
            </w:r>
            <w:r>
              <w:rPr>
                <w:rFonts w:hint="eastAsia" w:ascii="宋体" w:hAnsi="宋体"/>
                <w:sz w:val="24"/>
                <w:lang w:val="en-US" w:eastAsia="zh-CN"/>
              </w:rPr>
              <w:t>1</w:t>
            </w:r>
            <w:r>
              <w:rPr>
                <w:rFonts w:hint="eastAsia" w:ascii="宋体" w:hAnsi="宋体"/>
                <w:sz w:val="24"/>
              </w:rPr>
              <w:t>0%</w:t>
            </w:r>
          </w:p>
          <w:p w14:paraId="6D094832">
            <w:pPr>
              <w:spacing w:line="360" w:lineRule="auto"/>
              <w:rPr>
                <w:rFonts w:ascii="仿宋" w:hAnsi="仿宋" w:eastAsia="仿宋" w:cs="宋体"/>
                <w:b/>
                <w:sz w:val="24"/>
              </w:rPr>
            </w:pPr>
            <w:r>
              <w:rPr>
                <w:rFonts w:hint="eastAsia" w:ascii="宋体" w:hAnsi="宋体"/>
                <w:sz w:val="24"/>
              </w:rPr>
              <w:t>上述公式中的“评标基准价”是指满足</w:t>
            </w:r>
            <w:r>
              <w:rPr>
                <w:rFonts w:hint="eastAsia" w:ascii="宋体" w:hAnsi="宋体"/>
                <w:sz w:val="24"/>
                <w:lang w:val="en-US" w:eastAsia="zh-CN"/>
              </w:rPr>
              <w:t>项目采购需求</w:t>
            </w:r>
            <w:r>
              <w:rPr>
                <w:rFonts w:hint="eastAsia" w:ascii="宋体" w:hAnsi="宋体"/>
                <w:sz w:val="24"/>
              </w:rPr>
              <w:t>且经评审后的最低评审价格，其价格分为满分。上述公式中的“投标报价”是指经评审后的投标报价。</w:t>
            </w:r>
          </w:p>
        </w:tc>
      </w:tr>
    </w:tbl>
    <w:p w14:paraId="067D5E3D">
      <w:pPr>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Ã??">
    <w:panose1 w:val="03000E00000000000000"/>
    <w:charset w:val="88"/>
    <w:family w:val="auto"/>
    <w:pitch w:val="default"/>
    <w:sig w:usb0="80000001" w:usb1="28091800" w:usb2="00000016" w:usb3="00000000" w:csb0="001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747907"/>
      <w:docPartObj>
        <w:docPartGallery w:val="autotext"/>
      </w:docPartObj>
    </w:sdtPr>
    <w:sdtContent>
      <w:p w14:paraId="0928D926">
        <w:pPr>
          <w:pStyle w:val="6"/>
          <w:jc w:val="center"/>
        </w:pPr>
        <w:r>
          <w:fldChar w:fldCharType="begin"/>
        </w:r>
        <w:r>
          <w:instrText xml:space="preserve">PAGE   \* MERGEFORMAT</w:instrText>
        </w:r>
        <w:r>
          <w:fldChar w:fldCharType="separate"/>
        </w:r>
        <w:r>
          <w:rPr>
            <w:lang w:val="zh-CN"/>
          </w:rPr>
          <w:t>2</w:t>
        </w:r>
        <w:r>
          <w:fldChar w:fldCharType="end"/>
        </w:r>
      </w:p>
    </w:sdtContent>
  </w:sdt>
  <w:p w14:paraId="3B25DB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9AB7"/>
    <w:multiLevelType w:val="singleLevel"/>
    <w:tmpl w:val="80DD9A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0017274B"/>
    <w:rsid w:val="00025749"/>
    <w:rsid w:val="0005174D"/>
    <w:rsid w:val="000B5BB5"/>
    <w:rsid w:val="000B7D95"/>
    <w:rsid w:val="00103C68"/>
    <w:rsid w:val="0013474C"/>
    <w:rsid w:val="0017274B"/>
    <w:rsid w:val="001930E7"/>
    <w:rsid w:val="001E209E"/>
    <w:rsid w:val="0020242C"/>
    <w:rsid w:val="00223C47"/>
    <w:rsid w:val="002577F7"/>
    <w:rsid w:val="002B5B41"/>
    <w:rsid w:val="002D5D6B"/>
    <w:rsid w:val="00365A11"/>
    <w:rsid w:val="003D50E9"/>
    <w:rsid w:val="005017C0"/>
    <w:rsid w:val="0061662D"/>
    <w:rsid w:val="0062728A"/>
    <w:rsid w:val="006707A6"/>
    <w:rsid w:val="00673B37"/>
    <w:rsid w:val="00721168"/>
    <w:rsid w:val="008000A8"/>
    <w:rsid w:val="0080380F"/>
    <w:rsid w:val="00824649"/>
    <w:rsid w:val="0086446B"/>
    <w:rsid w:val="00872C8F"/>
    <w:rsid w:val="008938A7"/>
    <w:rsid w:val="009314DC"/>
    <w:rsid w:val="00952BA9"/>
    <w:rsid w:val="009C4897"/>
    <w:rsid w:val="00AC7064"/>
    <w:rsid w:val="00AF2D67"/>
    <w:rsid w:val="00BB0FAA"/>
    <w:rsid w:val="00BD506B"/>
    <w:rsid w:val="00D70537"/>
    <w:rsid w:val="00D858E9"/>
    <w:rsid w:val="00DA594B"/>
    <w:rsid w:val="00DC101A"/>
    <w:rsid w:val="00E93C7D"/>
    <w:rsid w:val="00EC1AE9"/>
    <w:rsid w:val="00ED2605"/>
    <w:rsid w:val="00F31ED3"/>
    <w:rsid w:val="00F36F67"/>
    <w:rsid w:val="00F4427E"/>
    <w:rsid w:val="00FF78BB"/>
    <w:rsid w:val="01CC0983"/>
    <w:rsid w:val="068F69D2"/>
    <w:rsid w:val="07C71432"/>
    <w:rsid w:val="0887371F"/>
    <w:rsid w:val="08FD2E32"/>
    <w:rsid w:val="093F3355"/>
    <w:rsid w:val="0B2D2264"/>
    <w:rsid w:val="0C1C0642"/>
    <w:rsid w:val="0C7B432F"/>
    <w:rsid w:val="0D935970"/>
    <w:rsid w:val="15770D31"/>
    <w:rsid w:val="18BE6E88"/>
    <w:rsid w:val="1A574F62"/>
    <w:rsid w:val="211C0E60"/>
    <w:rsid w:val="21AD074F"/>
    <w:rsid w:val="226574EF"/>
    <w:rsid w:val="22C91E20"/>
    <w:rsid w:val="297C2B13"/>
    <w:rsid w:val="2A5970EC"/>
    <w:rsid w:val="2A781B3D"/>
    <w:rsid w:val="2AAB1046"/>
    <w:rsid w:val="2BF72336"/>
    <w:rsid w:val="2EC17EC2"/>
    <w:rsid w:val="2F866DEF"/>
    <w:rsid w:val="328B5842"/>
    <w:rsid w:val="33730FAB"/>
    <w:rsid w:val="34907373"/>
    <w:rsid w:val="355C275C"/>
    <w:rsid w:val="363F160E"/>
    <w:rsid w:val="39550235"/>
    <w:rsid w:val="3A9705AC"/>
    <w:rsid w:val="3B334000"/>
    <w:rsid w:val="3BF74C67"/>
    <w:rsid w:val="3FF75CA4"/>
    <w:rsid w:val="441F5D36"/>
    <w:rsid w:val="44B6014A"/>
    <w:rsid w:val="45F076DA"/>
    <w:rsid w:val="472B0A76"/>
    <w:rsid w:val="47471FAB"/>
    <w:rsid w:val="481F0041"/>
    <w:rsid w:val="48E65182"/>
    <w:rsid w:val="4AC30FB8"/>
    <w:rsid w:val="4BAF71E2"/>
    <w:rsid w:val="4CC415BF"/>
    <w:rsid w:val="4E9E34D8"/>
    <w:rsid w:val="4F6E6F82"/>
    <w:rsid w:val="50AA2ED0"/>
    <w:rsid w:val="50E952CC"/>
    <w:rsid w:val="525748A7"/>
    <w:rsid w:val="52F96AF8"/>
    <w:rsid w:val="53DE35E3"/>
    <w:rsid w:val="54AA7276"/>
    <w:rsid w:val="56883D1B"/>
    <w:rsid w:val="59EB4702"/>
    <w:rsid w:val="5AC14087"/>
    <w:rsid w:val="5AC346F6"/>
    <w:rsid w:val="5C026392"/>
    <w:rsid w:val="60975D06"/>
    <w:rsid w:val="614F54B5"/>
    <w:rsid w:val="627F2323"/>
    <w:rsid w:val="6773320D"/>
    <w:rsid w:val="67BD6B66"/>
    <w:rsid w:val="68C3403E"/>
    <w:rsid w:val="6A7014E2"/>
    <w:rsid w:val="6D096532"/>
    <w:rsid w:val="6D2C4979"/>
    <w:rsid w:val="70715169"/>
    <w:rsid w:val="72F063CF"/>
    <w:rsid w:val="73A50CE2"/>
    <w:rsid w:val="75B440BF"/>
    <w:rsid w:val="76FA5E04"/>
    <w:rsid w:val="77EF532A"/>
    <w:rsid w:val="7AEA70B6"/>
    <w:rsid w:val="7BE161B8"/>
    <w:rsid w:val="7E321E1A"/>
    <w:rsid w:val="7FA5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3">
    <w:name w:val="Body Text"/>
    <w:basedOn w:val="1"/>
    <w:next w:val="1"/>
    <w:link w:val="19"/>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Plain Text"/>
    <w:basedOn w:val="1"/>
    <w:link w:val="16"/>
    <w:unhideWhenUsed/>
    <w:qFormat/>
    <w:uiPriority w:val="0"/>
    <w:rPr>
      <w:rFonts w:hAnsi="Courier New" w:cs="Courier New" w:asciiTheme="minorEastAsia" w:eastAsiaTheme="minorEastAsia"/>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w:basedOn w:val="3"/>
    <w:link w:val="20"/>
    <w:unhideWhenUsed/>
    <w:qFormat/>
    <w:uiPriority w:val="99"/>
    <w:pPr>
      <w:ind w:firstLine="420" w:firstLineChars="100"/>
    </w:pPr>
    <w:rPr>
      <w:rFonts w:ascii="Calibri" w:hAnsi="Calibri"/>
    </w:rPr>
  </w:style>
  <w:style w:type="paragraph" w:styleId="10">
    <w:name w:val="Body Text First Indent 2"/>
    <w:basedOn w:val="4"/>
    <w:link w:val="15"/>
    <w:qFormat/>
    <w:uiPriority w:val="0"/>
    <w:pPr>
      <w:adjustRightInd w:val="0"/>
      <w:snapToGrid w:val="0"/>
      <w:spacing w:after="0" w:line="360" w:lineRule="auto"/>
      <w:ind w:left="0" w:leftChars="0" w:firstLine="420" w:firstLineChars="200"/>
    </w:pPr>
  </w:style>
  <w:style w:type="character" w:styleId="13">
    <w:name w:val="Strong"/>
    <w:basedOn w:val="12"/>
    <w:qFormat/>
    <w:uiPriority w:val="22"/>
    <w:rPr>
      <w:b/>
    </w:rPr>
  </w:style>
  <w:style w:type="character" w:customStyle="1" w:styleId="14">
    <w:name w:val="正文文本缩进 字符"/>
    <w:basedOn w:val="12"/>
    <w:link w:val="4"/>
    <w:semiHidden/>
    <w:qFormat/>
    <w:uiPriority w:val="99"/>
    <w:rPr>
      <w:rFonts w:ascii="Times New Roman" w:hAnsi="Times New Roman" w:eastAsia="宋体" w:cs="Times New Roman"/>
      <w:szCs w:val="24"/>
    </w:rPr>
  </w:style>
  <w:style w:type="character" w:customStyle="1" w:styleId="15">
    <w:name w:val="正文文本首行缩进 2 字符"/>
    <w:basedOn w:val="14"/>
    <w:link w:val="10"/>
    <w:qFormat/>
    <w:uiPriority w:val="0"/>
    <w:rPr>
      <w:rFonts w:ascii="Times New Roman" w:hAnsi="Times New Roman" w:eastAsia="宋体" w:cs="Times New Roman"/>
      <w:szCs w:val="24"/>
    </w:rPr>
  </w:style>
  <w:style w:type="character" w:customStyle="1" w:styleId="16">
    <w:name w:val="纯文本 字符"/>
    <w:basedOn w:val="12"/>
    <w:link w:val="5"/>
    <w:qFormat/>
    <w:uiPriority w:val="0"/>
    <w:rPr>
      <w:rFonts w:hAnsi="Courier New" w:cs="Courier New" w:asciiTheme="minorEastAsia"/>
      <w:szCs w:val="24"/>
    </w:rPr>
  </w:style>
  <w:style w:type="character" w:customStyle="1" w:styleId="17">
    <w:name w:val="页眉 字符"/>
    <w:basedOn w:val="12"/>
    <w:link w:val="7"/>
    <w:qFormat/>
    <w:uiPriority w:val="99"/>
    <w:rPr>
      <w:rFonts w:ascii="Times New Roman" w:hAnsi="Times New Roman" w:eastAsia="宋体" w:cs="Times New Roman"/>
      <w:sz w:val="18"/>
      <w:szCs w:val="18"/>
    </w:rPr>
  </w:style>
  <w:style w:type="character" w:customStyle="1" w:styleId="18">
    <w:name w:val="页脚 字符"/>
    <w:basedOn w:val="12"/>
    <w:link w:val="6"/>
    <w:qFormat/>
    <w:uiPriority w:val="99"/>
    <w:rPr>
      <w:rFonts w:ascii="Times New Roman" w:hAnsi="Times New Roman" w:eastAsia="宋体" w:cs="Times New Roman"/>
      <w:sz w:val="18"/>
      <w:szCs w:val="18"/>
    </w:rPr>
  </w:style>
  <w:style w:type="character" w:customStyle="1" w:styleId="19">
    <w:name w:val="正文文本 字符"/>
    <w:basedOn w:val="12"/>
    <w:link w:val="3"/>
    <w:semiHidden/>
    <w:qFormat/>
    <w:uiPriority w:val="99"/>
    <w:rPr>
      <w:rFonts w:ascii="Times New Roman" w:hAnsi="Times New Roman" w:eastAsia="宋体" w:cs="Times New Roman"/>
      <w:szCs w:val="24"/>
    </w:rPr>
  </w:style>
  <w:style w:type="character" w:customStyle="1" w:styleId="20">
    <w:name w:val="正文文本首行缩进 字符"/>
    <w:basedOn w:val="19"/>
    <w:link w:val="9"/>
    <w:qFormat/>
    <w:uiPriority w:val="99"/>
    <w:rPr>
      <w:rFonts w:ascii="Calibri" w:hAnsi="Calibri"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5</Pages>
  <Words>2657</Words>
  <Characters>2718</Characters>
  <Lines>9</Lines>
  <Paragraphs>2</Paragraphs>
  <TotalTime>7</TotalTime>
  <ScaleCrop>false</ScaleCrop>
  <LinksUpToDate>false</LinksUpToDate>
  <CharactersWithSpaces>2723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2023-12-04T14:29:00Z</dcterms:created>
  <dc:creator>Administrator</dc:creator>
  <cp:lastModifiedBy>RaphaelL</cp:lastModifiedBy>
  <dcterms:modified xsi:type="dcterms:W3CDTF">2026-05-27T16:46:49Z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CF7D9060BBFF44A9BA0DEBFE1F06DE5E</vt:lpwstr>
  </property>
  <property fmtid="{D5CDD505-2E9C-101B-9397-08002B2CF9AE}" pid="4" name="KSOTemplateDocerSaveRecord">
    <vt:lpwstr>eyJoZGlkIjoiODk1YjFiZDUyMDBiYWQzODZmNjMzMjAyOWFkMDI2OTQiLCJ1c2VySWQiOiIzMDMyODk3NDMifQ==</vt:lpwstr>
  </property>
</Properties>
</file>