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25A6B">
      <w:r>
        <w:rPr>
          <w:rFonts w:ascii="黑体" w:hAnsi="宋体" w:eastAsia="黑体" w:cs="黑体"/>
          <w:color w:val="000000"/>
          <w:sz w:val="28"/>
          <w:szCs w:val="28"/>
          <w:lang w:bidi="ar"/>
        </w:rPr>
        <w:t>附件3</w:t>
      </w:r>
    </w:p>
    <w:p w14:paraId="54722476">
      <w:pPr>
        <w:jc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评分细则</w:t>
      </w:r>
    </w:p>
    <w:p w14:paraId="6FB5B947">
      <w:pPr>
        <w:spacing w:line="360" w:lineRule="auto"/>
        <w:jc w:val="center"/>
        <w:rPr>
          <w:rFonts w:hint="eastAsia" w:ascii="仿宋_GB2312" w:hAnsi="仿宋_GB2312" w:eastAsia="仿宋_GB2312" w:cs="仿宋_GB2312"/>
          <w:sz w:val="36"/>
          <w:szCs w:val="36"/>
        </w:rPr>
      </w:pPr>
      <w:r>
        <w:rPr>
          <w:rFonts w:ascii="仿宋" w:hAnsi="仿宋" w:eastAsia="仿宋" w:cs="仿宋"/>
          <w:color w:val="000000"/>
          <w:sz w:val="24"/>
          <w:szCs w:val="24"/>
          <w:lang w:bidi="ar"/>
        </w:rPr>
        <w:t>本项目采用综合评分法，总分为100分，评分细则详见下表。</w:t>
      </w:r>
    </w:p>
    <w:tbl>
      <w:tblPr>
        <w:tblStyle w:val="3"/>
        <w:tblW w:w="852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5"/>
        <w:gridCol w:w="7177"/>
      </w:tblGrid>
      <w:tr w14:paraId="58269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6" w:hRule="atLeast"/>
          <w:jc w:val="center"/>
        </w:trPr>
        <w:tc>
          <w:tcPr>
            <w:tcW w:w="8522" w:type="dxa"/>
            <w:gridSpan w:val="2"/>
            <w:vAlign w:val="center"/>
          </w:tcPr>
          <w:p w14:paraId="4D97924D">
            <w:pPr>
              <w:pStyle w:val="5"/>
              <w:snapToGrid w:val="0"/>
              <w:jc w:val="center"/>
              <w:rPr>
                <w:rFonts w:ascii="仿宋" w:hAnsi="仿宋" w:eastAsia="仿宋" w:cs="仿宋"/>
              </w:rPr>
            </w:pPr>
            <w:r>
              <w:rPr>
                <w:rFonts w:ascii="仿宋" w:hAnsi="仿宋" w:eastAsia="仿宋" w:cs="仿宋"/>
                <w:b/>
                <w:bCs/>
                <w:sz w:val="24"/>
                <w:szCs w:val="24"/>
                <w:lang w:eastAsia="zh-CN"/>
              </w:rPr>
              <w:t>一、</w:t>
            </w:r>
            <w:r>
              <w:rPr>
                <w:rFonts w:ascii="仿宋" w:hAnsi="仿宋" w:eastAsia="仿宋" w:cs="仿宋"/>
                <w:b/>
                <w:bCs/>
                <w:sz w:val="24"/>
                <w:szCs w:val="24"/>
              </w:rPr>
              <w:t>技术部分</w:t>
            </w:r>
            <w:r>
              <w:rPr>
                <w:rFonts w:hint="eastAsia" w:ascii="仿宋" w:hAnsi="仿宋" w:eastAsia="仿宋" w:cs="仿宋"/>
                <w:b/>
                <w:bCs/>
                <w:sz w:val="24"/>
                <w:szCs w:val="24"/>
                <w:lang w:val="en-US" w:eastAsia="zh-CN"/>
              </w:rPr>
              <w:t>70</w:t>
            </w:r>
            <w:r>
              <w:rPr>
                <w:rFonts w:ascii="仿宋" w:hAnsi="仿宋" w:eastAsia="仿宋" w:cs="仿宋"/>
                <w:b/>
                <w:bCs/>
                <w:sz w:val="24"/>
                <w:szCs w:val="24"/>
              </w:rPr>
              <w:t>.0分</w:t>
            </w:r>
          </w:p>
        </w:tc>
      </w:tr>
      <w:tr w14:paraId="3F799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6" w:hRule="atLeast"/>
          <w:jc w:val="center"/>
        </w:trPr>
        <w:tc>
          <w:tcPr>
            <w:tcW w:w="1345" w:type="dxa"/>
            <w:vAlign w:val="center"/>
          </w:tcPr>
          <w:p w14:paraId="1FBA654A">
            <w:pPr>
              <w:pStyle w:val="5"/>
              <w:snapToGrid w:val="0"/>
              <w:jc w:val="center"/>
              <w:rPr>
                <w:rFonts w:ascii="仿宋" w:hAnsi="仿宋" w:eastAsia="仿宋" w:cs="仿宋"/>
                <w:b/>
                <w:bCs/>
                <w:sz w:val="24"/>
                <w:szCs w:val="24"/>
                <w:lang w:eastAsia="zh-CN"/>
              </w:rPr>
            </w:pPr>
            <w:r>
              <w:rPr>
                <w:rFonts w:ascii="仿宋" w:hAnsi="仿宋" w:eastAsia="仿宋" w:cs="仿宋"/>
                <w:b/>
                <w:sz w:val="24"/>
                <w:szCs w:val="24"/>
                <w:lang w:eastAsia="zh-CN"/>
              </w:rPr>
              <w:t>评审内容</w:t>
            </w:r>
          </w:p>
        </w:tc>
        <w:tc>
          <w:tcPr>
            <w:tcW w:w="7177" w:type="dxa"/>
            <w:vAlign w:val="center"/>
          </w:tcPr>
          <w:p w14:paraId="25A1EC79">
            <w:pPr>
              <w:pStyle w:val="5"/>
              <w:snapToGrid w:val="0"/>
              <w:jc w:val="center"/>
              <w:rPr>
                <w:rFonts w:ascii="仿宋" w:hAnsi="仿宋" w:eastAsia="仿宋" w:cs="仿宋"/>
                <w:b/>
                <w:bCs/>
                <w:sz w:val="24"/>
                <w:szCs w:val="24"/>
                <w:lang w:eastAsia="zh-CN"/>
              </w:rPr>
            </w:pPr>
            <w:r>
              <w:rPr>
                <w:rFonts w:ascii="仿宋" w:hAnsi="仿宋" w:eastAsia="仿宋" w:cs="仿宋"/>
                <w:b/>
                <w:sz w:val="24"/>
                <w:szCs w:val="24"/>
                <w:lang w:eastAsia="zh-CN"/>
              </w:rPr>
              <w:t>评分细则</w:t>
            </w:r>
          </w:p>
        </w:tc>
      </w:tr>
      <w:tr w14:paraId="76FBE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48" w:hRule="atLeast"/>
          <w:jc w:val="center"/>
        </w:trPr>
        <w:tc>
          <w:tcPr>
            <w:tcW w:w="1345" w:type="dxa"/>
            <w:vAlign w:val="center"/>
          </w:tcPr>
          <w:p w14:paraId="15C5781D">
            <w:pPr>
              <w:pStyle w:val="5"/>
              <w:widowControl w:val="0"/>
              <w:snapToGrid w:val="0"/>
              <w:jc w:val="center"/>
              <w:rPr>
                <w:rFonts w:ascii="仿宋" w:hAnsi="仿宋" w:eastAsia="仿宋" w:cs="仿宋"/>
              </w:rPr>
            </w:pPr>
            <w:r>
              <w:rPr>
                <w:rFonts w:hint="eastAsia" w:ascii="仿宋" w:hAnsi="仿宋" w:eastAsia="仿宋" w:cs="仿宋"/>
              </w:rPr>
              <w:t>对本项目工作的理解认识情况(</w:t>
            </w:r>
            <w:r>
              <w:rPr>
                <w:rFonts w:hint="eastAsia" w:ascii="仿宋" w:hAnsi="仿宋" w:eastAsia="仿宋" w:cs="仿宋"/>
                <w:lang w:val="en-US" w:eastAsia="zh-CN"/>
              </w:rPr>
              <w:t>9</w:t>
            </w:r>
            <w:r>
              <w:rPr>
                <w:rFonts w:hint="eastAsia" w:ascii="仿宋" w:hAnsi="仿宋" w:eastAsia="仿宋" w:cs="仿宋"/>
              </w:rPr>
              <w:t>.0分)</w:t>
            </w:r>
          </w:p>
        </w:tc>
        <w:tc>
          <w:tcPr>
            <w:tcW w:w="7177" w:type="dxa"/>
            <w:vAlign w:val="center"/>
          </w:tcPr>
          <w:p w14:paraId="18E715D3">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根据投标人针对本项目需求提供对本项目理解认识情况(包含但不限于项目背景、项目目标、重点难点的详细分析)进行综合评审:</w:t>
            </w:r>
          </w:p>
          <w:p w14:paraId="48D01017">
            <w:pPr>
              <w:numPr>
                <w:ilvl w:val="0"/>
                <w:numId w:val="0"/>
              </w:num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1.编制的方案完全理解，且方案完整合理、可行性强，提出的重点难点非常有利于项目实施，完全满足采购需求，得9分;</w:t>
            </w:r>
          </w:p>
          <w:p w14:paraId="0D518417">
            <w:pPr>
              <w:numPr>
                <w:ilvl w:val="0"/>
                <w:numId w:val="0"/>
              </w:num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2.编制的方案理解准确，且方案完整可行性一般，提出的重点难点部分有利于项目实施，符合采购需求，得6分;</w:t>
            </w:r>
          </w:p>
          <w:p w14:paraId="13A2263A">
            <w:pPr>
              <w:numPr>
                <w:ilvl w:val="0"/>
                <w:numId w:val="0"/>
              </w:num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3.编制的方案基本理解，且方案基本完整、可行性较差，提出的重点难点基本适用项目实施，基本符合采购需求，得3分；</w:t>
            </w:r>
          </w:p>
          <w:p w14:paraId="2636D783">
            <w:pPr>
              <w:numPr>
                <w:ilvl w:val="0"/>
                <w:numId w:val="0"/>
              </w:num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4.编制的方案基本不理解，提供对应的方案较差，对项目重点难点的分析不够到位的，得1分;</w:t>
            </w:r>
          </w:p>
          <w:p w14:paraId="2B80CFEA">
            <w:pPr>
              <w:numPr>
                <w:ilvl w:val="0"/>
                <w:numId w:val="0"/>
              </w:num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5.未提供对应方案的，不得分。</w:t>
            </w:r>
          </w:p>
        </w:tc>
      </w:tr>
      <w:tr w14:paraId="7ED6D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91" w:hRule="atLeast"/>
          <w:jc w:val="center"/>
        </w:trPr>
        <w:tc>
          <w:tcPr>
            <w:tcW w:w="1345" w:type="dxa"/>
            <w:vAlign w:val="center"/>
          </w:tcPr>
          <w:p w14:paraId="4E413C27">
            <w:pPr>
              <w:snapToGrid w:val="0"/>
              <w:jc w:val="center"/>
              <w:rPr>
                <w:rFonts w:hint="eastAsia" w:ascii="仿宋" w:hAnsi="仿宋" w:eastAsia="仿宋" w:cs="仿宋"/>
                <w:sz w:val="20"/>
              </w:rPr>
            </w:pPr>
            <w:r>
              <w:rPr>
                <w:rFonts w:hint="eastAsia" w:ascii="仿宋" w:hAnsi="仿宋" w:eastAsia="仿宋" w:cs="仿宋"/>
                <w:sz w:val="20"/>
                <w:lang w:val="en-US" w:eastAsia="zh-CN"/>
              </w:rPr>
              <w:t>安全宣传咨询日活动实施方案</w:t>
            </w:r>
            <w:r>
              <w:rPr>
                <w:rFonts w:hint="eastAsia" w:ascii="仿宋" w:hAnsi="仿宋" w:eastAsia="仿宋" w:cs="仿宋"/>
                <w:sz w:val="20"/>
              </w:rPr>
              <w:t>（</w:t>
            </w:r>
            <w:r>
              <w:rPr>
                <w:rFonts w:hint="eastAsia" w:ascii="仿宋" w:hAnsi="仿宋" w:eastAsia="仿宋" w:cs="仿宋"/>
                <w:sz w:val="20"/>
                <w:lang w:val="en-US" w:eastAsia="zh-CN"/>
              </w:rPr>
              <w:t>5</w:t>
            </w:r>
            <w:r>
              <w:rPr>
                <w:rFonts w:hint="eastAsia" w:ascii="仿宋" w:hAnsi="仿宋" w:eastAsia="仿宋" w:cs="仿宋"/>
                <w:sz w:val="20"/>
              </w:rPr>
              <w:t>.0分）</w:t>
            </w:r>
          </w:p>
        </w:tc>
        <w:tc>
          <w:tcPr>
            <w:tcW w:w="7177" w:type="dxa"/>
            <w:vAlign w:val="center"/>
          </w:tcPr>
          <w:p w14:paraId="6B2FBF51">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根据投标人针对本项目需求提供的安全宣传咨询日活动实施方案（包括但不限于总体策划组织、宣传内容策划、活动现场布置、群众知识问答礼品奖品发放、现场安全专家宣讲服务组织安排）进行综合评审：</w:t>
            </w:r>
          </w:p>
          <w:p w14:paraId="626BC6A9">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1.实施方案内容完整：总体策划针对性强、可操作性强；宣传内容策划紧扣活动主题、形式丰富、贴合受众需求；活动现场布置方案周密、安全规范、布局合理；群众知识问答礼品奖品发放方案考虑周全、发放流程清晰、物资准备充分；现场安全专家宣讲服务组织安排严谨、专家资质符合要求、对接细节具体。能有效保障项目质量，完全满足项目需求，得 5分。</w:t>
            </w:r>
          </w:p>
          <w:p w14:paraId="525CAEA5">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2.实施方案内容较完整，但存在一般性缺陷：总体策划内容不够全面或缺少部分关键信息；宣传内容策划细节不够具体、形式较为单一；活动现场布置方案某些方面不够周密（如安全规范描述不足或布局说明欠清晰）；群众知识问答礼品奖品发放方案部分环节描述模糊（如发放流程或物资分配不够明确）；现场安全专家宣讲服务组织安排欠缺个别对接细节或专家资质说明不完整。以上缺陷不影响整体理解和项目实施，得 3分。</w:t>
            </w:r>
          </w:p>
          <w:p w14:paraId="29083C24">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3.实施方案内容存在明显不足：总体策划简粗略、针对性不强或可操作性较弱；宣传内容策划偏离活动主题、形式不符合受众需求；活动现场布置方案存在安全隐患、布局不合理或安全规范缺失；群众知识问答礼品奖品发放方案流程混乱、物资准备严重不足或发放方式不可行；现场安全专家宣讲服务组织安排中专家资质不符要求、对接细节混乱或服务安排缺失。或存在严重缺陷（如套用其他项目内容、前后表述矛盾、逻辑漏洞、常识性错误），但方案尚未完全缺失，得 1分。</w:t>
            </w:r>
          </w:p>
          <w:p w14:paraId="5FD0CC77">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4.未提供对应实施方案的，不得分。</w:t>
            </w:r>
          </w:p>
        </w:tc>
      </w:tr>
      <w:tr w14:paraId="114A4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81" w:hRule="atLeast"/>
          <w:jc w:val="center"/>
        </w:trPr>
        <w:tc>
          <w:tcPr>
            <w:tcW w:w="1345" w:type="dxa"/>
            <w:vAlign w:val="center"/>
          </w:tcPr>
          <w:p w14:paraId="5749BC05">
            <w:pPr>
              <w:snapToGrid w:val="0"/>
              <w:jc w:val="center"/>
              <w:rPr>
                <w:rFonts w:hint="eastAsia" w:ascii="仿宋" w:hAnsi="仿宋" w:eastAsia="仿宋" w:cs="仿宋"/>
                <w:sz w:val="20"/>
              </w:rPr>
            </w:pPr>
            <w:r>
              <w:rPr>
                <w:rFonts w:hint="eastAsia" w:ascii="仿宋" w:hAnsi="仿宋" w:eastAsia="仿宋" w:cs="仿宋"/>
                <w:sz w:val="20"/>
                <w:lang w:val="en-US" w:eastAsia="zh-CN"/>
              </w:rPr>
              <w:t>协助组织省观摩分会场工地活动实施方案</w:t>
            </w:r>
            <w:r>
              <w:rPr>
                <w:rFonts w:hint="eastAsia" w:ascii="仿宋" w:hAnsi="仿宋" w:eastAsia="仿宋" w:cs="仿宋"/>
                <w:sz w:val="20"/>
              </w:rPr>
              <w:t>（</w:t>
            </w:r>
            <w:r>
              <w:rPr>
                <w:rFonts w:hint="eastAsia" w:ascii="仿宋" w:hAnsi="仿宋" w:eastAsia="仿宋" w:cs="仿宋"/>
                <w:sz w:val="20"/>
                <w:lang w:val="en-US" w:eastAsia="zh-CN"/>
              </w:rPr>
              <w:t>12</w:t>
            </w:r>
            <w:r>
              <w:rPr>
                <w:rFonts w:hint="eastAsia" w:ascii="仿宋" w:hAnsi="仿宋" w:eastAsia="仿宋" w:cs="仿宋"/>
                <w:sz w:val="20"/>
              </w:rPr>
              <w:t>.0分）</w:t>
            </w:r>
          </w:p>
        </w:tc>
        <w:tc>
          <w:tcPr>
            <w:tcW w:w="7177" w:type="dxa"/>
            <w:vAlign w:val="center"/>
          </w:tcPr>
          <w:p w14:paraId="1DF60FC4">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根据投标人针对本项目需求提供的协助组织省观摩分会场工地活动实施方案（包括但不限于：总体策划组织、会场舞台及氛围布置、现场安全专家宣讲服务组织安排、宣传并推广《横琴粤澳深度合作区建设工程文明施工标准化图集》（2026版））进行综合评审：</w:t>
            </w:r>
          </w:p>
          <w:p w14:paraId="54033D33">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1.实施方案内容完整：总体策划针对性强、可操作性强；会场舞台及氛围布置方案周密、安全规范、布局合理；现场安全专家宣讲服务组织安排严谨、专家资质符合要求、对接细节具体；宣传并推广《横琴粤澳深度合作区建设工程文明施工标准化图集》（2026版）方案具体、渠道明确、措施有效。能有效保障项目质量，完全满足项目需求，得 12分。</w:t>
            </w:r>
          </w:p>
          <w:p w14:paraId="7BC98C9E">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2.实施方案内容较完整，但存在一般性缺陷：总体策划内容不够全面或缺少部分关键信息；会场舞台及氛围布置方案细节不够具体（如安全规范描述不足或布局说明欠清晰）；现场安全专家宣讲服务组织安排欠缺个别对接细节或专家资质说明不完整；宣传并推广图集方案中渠道不够明确、措施不够具体或缺少部分关键内容。以上缺陷不影响整体理解和项目实施，得 8分。</w:t>
            </w:r>
          </w:p>
          <w:p w14:paraId="2F8C3E08">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3.实施方案内容存在明显不足：总体策划简粗略、针对性不强或可操作性较弱；会场舞台及氛围布置方案存在安全隐患、布局不合理或安全规范缺失；现场安全专家宣讲服务组织安排中专家资质不符要求、对接细节混乱或服务安排缺失；宣传并推广图集方案措施不可行、渠道模糊或严重偏离要求。或存在严重缺陷（如套用其他项目内容、前后表述矛盾、逻辑漏洞、常识性错误），但方案尚未完全缺失，得 3分。</w:t>
            </w:r>
          </w:p>
          <w:p w14:paraId="4E500C51">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4.未提供对应实施方案的，不得分。</w:t>
            </w:r>
          </w:p>
        </w:tc>
      </w:tr>
      <w:tr w14:paraId="7C6FD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80" w:hRule="atLeast"/>
          <w:jc w:val="center"/>
        </w:trPr>
        <w:tc>
          <w:tcPr>
            <w:tcW w:w="1345" w:type="dxa"/>
            <w:vAlign w:val="center"/>
          </w:tcPr>
          <w:p w14:paraId="6D1DE19A">
            <w:pPr>
              <w:snapToGrid w:val="0"/>
              <w:jc w:val="center"/>
              <w:rPr>
                <w:rFonts w:hint="eastAsia" w:ascii="仿宋" w:hAnsi="仿宋" w:eastAsia="仿宋" w:cs="仿宋"/>
                <w:sz w:val="20"/>
              </w:rPr>
            </w:pPr>
            <w:r>
              <w:rPr>
                <w:rFonts w:hint="eastAsia" w:ascii="仿宋" w:hAnsi="仿宋" w:eastAsia="仿宋" w:cs="仿宋"/>
                <w:sz w:val="20"/>
                <w:lang w:val="en-US" w:eastAsia="zh-CN"/>
              </w:rPr>
              <w:t>夏送清凉活动实施方案</w:t>
            </w:r>
            <w:r>
              <w:rPr>
                <w:rFonts w:hint="eastAsia" w:ascii="仿宋" w:hAnsi="仿宋" w:eastAsia="仿宋" w:cs="仿宋"/>
                <w:sz w:val="20"/>
              </w:rPr>
              <w:t>（</w:t>
            </w:r>
            <w:r>
              <w:rPr>
                <w:rFonts w:hint="eastAsia" w:ascii="仿宋" w:hAnsi="仿宋" w:eastAsia="仿宋" w:cs="仿宋"/>
                <w:sz w:val="20"/>
                <w:lang w:val="en-US" w:eastAsia="zh-CN"/>
              </w:rPr>
              <w:t>8</w:t>
            </w:r>
            <w:r>
              <w:rPr>
                <w:rFonts w:hint="eastAsia" w:ascii="仿宋" w:hAnsi="仿宋" w:eastAsia="仿宋" w:cs="仿宋"/>
                <w:sz w:val="20"/>
              </w:rPr>
              <w:t>.0分）</w:t>
            </w:r>
          </w:p>
        </w:tc>
        <w:tc>
          <w:tcPr>
            <w:tcW w:w="7177" w:type="dxa"/>
            <w:vAlign w:val="center"/>
          </w:tcPr>
          <w:p w14:paraId="2EF44CAE">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根据投标人针对本项目需求提供的夏送清凉活动实施方案（包括但不限于：答题小礼品配置、多工地巡回交通及后勤保障、防暑降温宣传物料制作、防暑健康知识宣讲服务的组织）进行综合评审：</w:t>
            </w:r>
          </w:p>
          <w:p w14:paraId="783CD8F3">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1.实施方案内容完整：答题小礼品配置方案针对性强、礼品实用、配置数量合理；多工地巡回交通及后勤保障方案周密、路线规划科学、车辆及人员安排具体；防暑降温宣传物料发放方案考虑周全、发放流程清晰、物资准备充分；防暑健康知识宣讲服务组织方案严谨、宣讲人员专业、对接细节清晰。能有效保障项目质量，完全满足项目需求，得 8分。</w:t>
            </w:r>
          </w:p>
          <w:p w14:paraId="0DF0CB83">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2.实施方案内容较完整，但存在一般性缺陷：答题小礼品配置方案不够全面（如礼品实用性说明不足或配置数量欠合理）；多工地巡回交通及后勤保障方案细节不够具体（如路线规划不清晰或车辆人员安排信息缺失）；防暑降温宣传物料发放方案内容不够详实（如未贴合工地实际、发放流程不清晰或发放计划缺少关键步骤）；防暑健康知识宣讲服务组织方案存在个别瑕疵（如宣讲人员专业资质说明不完整或对接细节模糊）。以上缺陷不影响整体理解和项目实施，得 4分。</w:t>
            </w:r>
          </w:p>
          <w:p w14:paraId="566F093E">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3.实施方案内容存在明显不足：答题小礼品配置方案简粗略、针对性不强或可操作性较弱（如礼品不适用或数量严重不足）；多工地巡回交通及后勤保障方案存在明显漏洞（如路线规划不合理、车辆人员安排不可行）；防暑降温宣传物料发放方案内容粗糙、脱离工地实际或发放流程或发放计划不可行；防暑健康知识宣讲服务组织方案中宣讲人员不专业、对接细节混乱或服务安排缺失。或存在严重缺陷（如套用其他项目内容、前后表述矛盾、逻辑漏洞、常识性错误），但方案尚未完全缺失，得 2分。</w:t>
            </w:r>
          </w:p>
          <w:p w14:paraId="6B17FED4">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4.未提供对应实施方案的，不得分。</w:t>
            </w:r>
          </w:p>
        </w:tc>
      </w:tr>
      <w:tr w14:paraId="16BACB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35" w:hRule="atLeast"/>
          <w:jc w:val="center"/>
        </w:trPr>
        <w:tc>
          <w:tcPr>
            <w:tcW w:w="1345" w:type="dxa"/>
            <w:vAlign w:val="center"/>
          </w:tcPr>
          <w:p w14:paraId="274F18C6">
            <w:pPr>
              <w:snapToGrid w:val="0"/>
              <w:jc w:val="center"/>
              <w:rPr>
                <w:rFonts w:hint="eastAsia" w:ascii="仿宋" w:hAnsi="仿宋" w:eastAsia="仿宋" w:cs="仿宋"/>
                <w:sz w:val="20"/>
                <w:lang w:val="en-US" w:eastAsia="zh-CN"/>
              </w:rPr>
            </w:pPr>
            <w:r>
              <w:rPr>
                <w:rFonts w:hint="eastAsia" w:ascii="仿宋" w:hAnsi="仿宋" w:eastAsia="仿宋" w:cs="仿宋"/>
                <w:sz w:val="20"/>
                <w:lang w:val="en-US" w:eastAsia="zh-CN"/>
              </w:rPr>
              <w:t>安全生产月知识竞赛活动实施方案</w:t>
            </w:r>
            <w:r>
              <w:rPr>
                <w:rFonts w:hint="eastAsia" w:ascii="仿宋" w:hAnsi="仿宋" w:eastAsia="仿宋" w:cs="仿宋"/>
                <w:sz w:val="20"/>
              </w:rPr>
              <w:t>（</w:t>
            </w:r>
            <w:r>
              <w:rPr>
                <w:rFonts w:hint="eastAsia" w:ascii="仿宋" w:hAnsi="仿宋" w:eastAsia="仿宋" w:cs="仿宋"/>
                <w:sz w:val="20"/>
                <w:lang w:val="en-US" w:eastAsia="zh-CN"/>
              </w:rPr>
              <w:t>8</w:t>
            </w:r>
            <w:r>
              <w:rPr>
                <w:rFonts w:hint="eastAsia" w:ascii="仿宋" w:hAnsi="仿宋" w:eastAsia="仿宋" w:cs="仿宋"/>
                <w:sz w:val="20"/>
              </w:rPr>
              <w:t>.0分）</w:t>
            </w:r>
          </w:p>
        </w:tc>
        <w:tc>
          <w:tcPr>
            <w:tcW w:w="7177" w:type="dxa"/>
            <w:vAlign w:val="center"/>
          </w:tcPr>
          <w:p w14:paraId="1351A583">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根据投标人针对本项目需求提供的安全生产月知识竞赛活动实施方案（包括但不限于：竞赛场地及舞台布置、竞赛奖项奖牌证书及纪念礼品设置、竞赛主持组织及专家评审服务安排、参赛及工作人员意外伤害保险）进行综合评审：</w:t>
            </w:r>
          </w:p>
          <w:p w14:paraId="3090C332">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1.实施方案内容完整：竞赛场地及舞台布置方案周密、安全规范、布局合理；竞赛奖项奖牌证书及纪念礼品设置方案考虑周全、奖项设置合理、礼品实用；竞赛主持组织及专家评审服务安排严谨、主持人员专业、专家资质符合要求、对接细节具体；参赛及工作人员意外伤害保险方案险种明确、保额充足、覆盖全员。能有效保障项目质量，完全满足项目需求，得 8分。</w:t>
            </w:r>
          </w:p>
          <w:p w14:paraId="442573B7">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2.实施方案内容较完整，但存在一般性缺陷：竞赛场地及舞台布置方案内容不够全面或缺少部分关键信息（如安全规范描述不足、布局说明欠清晰）；竞赛奖项奖牌证书及纪念礼品设置方案细节不够具体（如奖项设置说明不完整、礼品实用性描述模糊）；竞赛主持组织及专家评审服务安排存在个别瑕疵（如主持人员专业资质说明不完整、专家对接细节缺失）；参赛及工作人员意外伤害保险方案险种不够明确、保额说明不足或覆盖范围不清晰。以上缺陷不影响整体理解和项目实施，得 4分。</w:t>
            </w:r>
          </w:p>
          <w:p w14:paraId="4DE621BF">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3.实施方案内容存在明显不足：竞赛场地及舞台布置方案简粗略、针对性不强或可操作性较弱（如存在安全隐患、布局不合理）；竞赛奖项奖牌证书及纪念礼品设置方案内容粗糙、奖项设置不合理或礼品不实用；竞赛主持组织及专家评审服务安排中主持人员不专业、专家资质不符要求或对接细节混乱；参赛及工作人员意外伤害保险方案险种错误、保额严重不足或未覆盖全员。或存在严重缺陷（如套用其他项目内容、前后表述矛盾、逻辑漏洞、常识性错误），但方案尚未完全缺失，得 2分。</w:t>
            </w:r>
          </w:p>
          <w:p w14:paraId="7F914DC9">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4.未提供对应实施方案的，不得分。</w:t>
            </w:r>
          </w:p>
        </w:tc>
      </w:tr>
      <w:tr w14:paraId="1CBD5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10" w:hRule="atLeast"/>
          <w:jc w:val="center"/>
        </w:trPr>
        <w:tc>
          <w:tcPr>
            <w:tcW w:w="1345" w:type="dxa"/>
            <w:vAlign w:val="center"/>
          </w:tcPr>
          <w:p w14:paraId="6CD27EE6">
            <w:pPr>
              <w:snapToGrid w:val="0"/>
              <w:jc w:val="center"/>
              <w:rPr>
                <w:rFonts w:hint="eastAsia" w:ascii="仿宋" w:hAnsi="仿宋" w:eastAsia="仿宋" w:cs="仿宋"/>
                <w:sz w:val="20"/>
                <w:lang w:val="en-US" w:eastAsia="zh-CN"/>
              </w:rPr>
            </w:pPr>
            <w:r>
              <w:rPr>
                <w:rFonts w:hint="eastAsia" w:ascii="仿宋" w:hAnsi="仿宋" w:eastAsia="仿宋" w:cs="仿宋"/>
                <w:sz w:val="20"/>
                <w:lang w:val="en-US" w:eastAsia="zh-CN"/>
              </w:rPr>
              <w:t>协助开展防风防汛应急演练活动实施方案</w:t>
            </w:r>
            <w:r>
              <w:rPr>
                <w:rFonts w:hint="eastAsia" w:ascii="仿宋" w:hAnsi="仿宋" w:eastAsia="仿宋" w:cs="仿宋"/>
                <w:sz w:val="20"/>
              </w:rPr>
              <w:t>（</w:t>
            </w:r>
            <w:r>
              <w:rPr>
                <w:rFonts w:hint="eastAsia" w:ascii="仿宋" w:hAnsi="仿宋" w:eastAsia="仿宋" w:cs="仿宋"/>
                <w:sz w:val="20"/>
                <w:lang w:val="en-US" w:eastAsia="zh-CN"/>
              </w:rPr>
              <w:t>15</w:t>
            </w:r>
            <w:r>
              <w:rPr>
                <w:rFonts w:hint="eastAsia" w:ascii="仿宋" w:hAnsi="仿宋" w:eastAsia="仿宋" w:cs="仿宋"/>
                <w:sz w:val="20"/>
              </w:rPr>
              <w:t>.0分）</w:t>
            </w:r>
          </w:p>
        </w:tc>
        <w:tc>
          <w:tcPr>
            <w:tcW w:w="7177" w:type="dxa"/>
            <w:vAlign w:val="center"/>
          </w:tcPr>
          <w:p w14:paraId="2C838D10">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根据投标人针对本项目需求提供的协助开展防风防汛应急演练活动实施方案（包括但不限于：演练方案优化改进、现场会场布置、搭设及应急物资安排、演练场地及设施布置、演练会务组织服务、应急演练评估总结）进行综合评审：</w:t>
            </w:r>
          </w:p>
          <w:p w14:paraId="12B20DB5">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1.实施方案内容完整：演练方案优化改进针对性强、改进措施具体可行；现场会场布置、搭设及应急物资安排方案周密、安全规范、物资配置合理；演练场地及设施布置方案布局科学、设施齐全、符合演练需求；演练会务组织服务方案流程清晰、责任明确、衔接顺畅；应急演练评估总结方案内容详实、评估标准明确、总结改进建议到位。能有效保障项目质量，完全满足项目需求，得 15分。</w:t>
            </w:r>
          </w:p>
          <w:p w14:paraId="02A46747">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2.实施方案内容较完整，但存在一般性缺陷：演练方案优化改进方案不够全面或缺少部分关键信息（如改进措施针对性不足、可行性描述模糊）；现场会场布置、搭设及应急物资安排方案细节不够具体（如安全规范说明不完整、物资配置数量不明确）；演练场地及设施布置方案布局描述欠清晰、设施清单不齐全或未能充分满足演练需求；演练会务组织服务方案流程步骤有遗漏、责任分工不明确或衔接不够顺畅；应急演练评估总结方案内容不够详实、评估标准不够具体或总结改进建议较为笼统。以上缺陷不影响整体理解和项目实施，得 9分。</w:t>
            </w:r>
          </w:p>
          <w:p w14:paraId="5B87F440">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3.实施方案内容存在明显不足：演练方案优化改进方案简粗略、针对性不强或改进措施不可行；现场会场布置、搭设及应急物资安排方案存在安全隐患、安全规范缺失或物资配置严重不合理；演练场地及设施布置方案布局混乱、设施严重不足或不符演练需求；演练会务组织服务方案流程模糊、责任缺失、衔接脱节；应急演练评估总结方案内容空洞、评估标准缺失或总结改进建议不到位。或存在严重缺陷（如套用其他项目内容、前后表述矛盾、逻辑漏洞、常识性错误），但方案尚未完全缺失，得 3分。</w:t>
            </w:r>
          </w:p>
          <w:p w14:paraId="084887FB">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4.未提供对应实施方案的，不得分。</w:t>
            </w:r>
          </w:p>
        </w:tc>
      </w:tr>
      <w:tr w14:paraId="6EECAE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37" w:hRule="atLeast"/>
          <w:jc w:val="center"/>
        </w:trPr>
        <w:tc>
          <w:tcPr>
            <w:tcW w:w="1345" w:type="dxa"/>
            <w:vAlign w:val="center"/>
          </w:tcPr>
          <w:p w14:paraId="46874B32">
            <w:pPr>
              <w:snapToGrid w:val="0"/>
              <w:jc w:val="center"/>
              <w:rPr>
                <w:rFonts w:hint="eastAsia" w:ascii="仿宋" w:hAnsi="仿宋" w:eastAsia="仿宋" w:cs="仿宋"/>
                <w:sz w:val="20"/>
                <w:lang w:val="en-US" w:eastAsia="zh-CN"/>
              </w:rPr>
            </w:pPr>
            <w:r>
              <w:rPr>
                <w:rFonts w:hint="eastAsia" w:ascii="仿宋" w:hAnsi="仿宋" w:eastAsia="仿宋" w:cs="仿宋"/>
                <w:sz w:val="20"/>
                <w:lang w:val="en-US" w:eastAsia="zh-CN"/>
              </w:rPr>
              <w:t>安全生产月宣传视频制作及宣传推广实施方案</w:t>
            </w:r>
            <w:r>
              <w:rPr>
                <w:rFonts w:hint="eastAsia" w:ascii="仿宋" w:hAnsi="仿宋" w:eastAsia="仿宋" w:cs="仿宋"/>
                <w:sz w:val="20"/>
              </w:rPr>
              <w:t>（</w:t>
            </w:r>
            <w:r>
              <w:rPr>
                <w:rFonts w:hint="eastAsia" w:ascii="仿宋" w:hAnsi="仿宋" w:eastAsia="仿宋" w:cs="仿宋"/>
                <w:sz w:val="20"/>
                <w:lang w:val="en-US" w:eastAsia="zh-CN"/>
              </w:rPr>
              <w:t>4</w:t>
            </w:r>
            <w:r>
              <w:rPr>
                <w:rFonts w:hint="eastAsia" w:ascii="仿宋" w:hAnsi="仿宋" w:eastAsia="仿宋" w:cs="仿宋"/>
                <w:sz w:val="20"/>
              </w:rPr>
              <w:t>.0分）</w:t>
            </w:r>
          </w:p>
        </w:tc>
        <w:tc>
          <w:tcPr>
            <w:tcW w:w="7177" w:type="dxa"/>
            <w:vAlign w:val="center"/>
          </w:tcPr>
          <w:p w14:paraId="6D613BA2">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根据投标人针对本项目需求提供的安全生产月宣传视频制作及宣传推广实施方案（包括但不限于：安全生产月活动开展进行全程摄影摄像安排、行业内宣传推广方案）进行综合评审：</w:t>
            </w:r>
          </w:p>
          <w:p w14:paraId="52FBBB19">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1.实施方案内容完整：全程摄影摄像安排方案详尽、人员设备配置合理、拍摄计划周密、覆盖关键环节；行业内宣传推广方案针对性强、推广渠道明确、内容形式贴合行业特点。能有效保障项目质量，完全满足项目需求，得 4分。</w:t>
            </w:r>
          </w:p>
          <w:p w14:paraId="497F0621">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2.实施方案内容较完整，但存在一般性缺陷：全程摄影摄像安排方案不够全面或缺少部分关键信息（如人员设备配置说明不完整、拍摄计划有遗漏、未能完全覆盖关键环节）；行业内宣传推广方案细节不够具体（如推广渠道不明确、内容形式未能充分贴合行业特点）。以上缺陷不影响整体理解和项目实施，得 2分。</w:t>
            </w:r>
          </w:p>
          <w:p w14:paraId="20E35A22">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3.实施方案内容存在明显不足：全程摄影摄像安排方案简粗略、针对性不强或可操作性较弱（如人员设备配置不合理、拍摄计划缺失关键步骤）；行业内宣传推广方案内容粗糙、推广渠道模糊、内容形式严重偏离行业特点。或存在严重缺陷（如套用其他项目内容、前后表述矛盾、逻辑漏洞、常识性错误），但方案尚未完全缺失，得 1分。</w:t>
            </w:r>
          </w:p>
          <w:p w14:paraId="53F606E3">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4.未提供对应实施方案的，不得分。</w:t>
            </w:r>
          </w:p>
        </w:tc>
      </w:tr>
      <w:tr w14:paraId="4030A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30" w:hRule="atLeast"/>
          <w:jc w:val="center"/>
        </w:trPr>
        <w:tc>
          <w:tcPr>
            <w:tcW w:w="1345" w:type="dxa"/>
            <w:shd w:val="clear" w:color="auto" w:fill="auto"/>
            <w:vAlign w:val="center"/>
          </w:tcPr>
          <w:p w14:paraId="52994BEB">
            <w:pPr>
              <w:snapToGrid w:val="0"/>
              <w:jc w:val="center"/>
              <w:rPr>
                <w:rFonts w:hint="eastAsia" w:ascii="仿宋" w:hAnsi="仿宋" w:eastAsia="仿宋" w:cs="仿宋"/>
                <w:sz w:val="20"/>
                <w:lang w:val="en-US" w:eastAsia="zh-CN" w:bidi="ar-SA"/>
              </w:rPr>
            </w:pPr>
            <w:r>
              <w:rPr>
                <w:rFonts w:hint="eastAsia" w:ascii="仿宋" w:hAnsi="仿宋" w:eastAsia="仿宋" w:cs="仿宋"/>
                <w:sz w:val="20"/>
                <w:lang w:val="en-US" w:eastAsia="zh-CN"/>
              </w:rPr>
              <w:t>项目团队</w:t>
            </w:r>
            <w:r>
              <w:rPr>
                <w:rFonts w:hint="eastAsia" w:ascii="仿宋" w:hAnsi="仿宋" w:eastAsia="仿宋" w:cs="仿宋"/>
                <w:sz w:val="20"/>
                <w:lang w:val="en-US" w:eastAsia="zh-CN" w:bidi="ar"/>
              </w:rPr>
              <w:t>配置方案</w:t>
            </w:r>
            <w:r>
              <w:rPr>
                <w:rFonts w:hint="eastAsia" w:ascii="仿宋" w:hAnsi="仿宋" w:eastAsia="仿宋" w:cs="仿宋"/>
                <w:sz w:val="20"/>
              </w:rPr>
              <w:t>（</w:t>
            </w:r>
            <w:r>
              <w:rPr>
                <w:rFonts w:hint="eastAsia" w:ascii="仿宋" w:hAnsi="仿宋" w:eastAsia="仿宋" w:cs="仿宋"/>
                <w:sz w:val="20"/>
                <w:lang w:val="en-US" w:eastAsia="zh-CN"/>
              </w:rPr>
              <w:t>9</w:t>
            </w:r>
            <w:r>
              <w:rPr>
                <w:rFonts w:hint="eastAsia" w:ascii="仿宋" w:hAnsi="仿宋" w:eastAsia="仿宋" w:cs="仿宋"/>
                <w:sz w:val="20"/>
              </w:rPr>
              <w:t>.0分）</w:t>
            </w:r>
          </w:p>
        </w:tc>
        <w:tc>
          <w:tcPr>
            <w:tcW w:w="7177" w:type="dxa"/>
            <w:shd w:val="clear" w:color="auto" w:fill="auto"/>
            <w:vAlign w:val="center"/>
          </w:tcPr>
          <w:p w14:paraId="31E928E5">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根据投标人针对本项目需求提供的拟派项目团队配置方案（包括但不限于人员配置、专业能力、职责分工）进行综合评审。投标人须为本项目配备不少于5名工作人员，项目负责人具有建筑业相关专业中级及以上职称，团队成员分工明确（含策划、执行、专家对接、物资管理、宣传等岗位）。</w:t>
            </w:r>
          </w:p>
          <w:p w14:paraId="61B58844">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1.拟派项目团队人员配置满足不少于5名工作人员（含项目负责人）且证明材料齐全；项目负责人具有建筑业相关专业中级及以上职称；团队成员分工明确，完整涵盖策划、执行、专家对接、物资管理、宣传等5个岗位，且职责描述清晰具体，完全满足项目需求，得 9分。</w:t>
            </w:r>
          </w:p>
          <w:p w14:paraId="69CA685A">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2.拟派项目团队存在一般性缺陷（如人员配置为4人、或缺少1个岗位或职责描述不够具体、或项目负责人职称为建筑业相关专业初级职称等，但不影响整体项目实施），得 6分。</w:t>
            </w:r>
          </w:p>
          <w:p w14:paraId="5317B9F3">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3.拟派项目团队存在明显不足（如人员配置少于3人、或缺少2个及以上岗位、或未提供职责分工、或项目负责人职称证明材料严重缺失等），得 1分。</w:t>
            </w:r>
          </w:p>
          <w:p w14:paraId="13495B0D">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4.未提供拟派项目团队配置方案的，不得分。</w:t>
            </w:r>
          </w:p>
          <w:p w14:paraId="37DD8EC3">
            <w:pPr>
              <w:snapToGrid w:val="0"/>
              <w:ind w:firstLine="400" w:firstLineChars="200"/>
              <w:rPr>
                <w:rFonts w:hint="eastAsia" w:ascii="仿宋" w:hAnsi="仿宋" w:eastAsia="仿宋" w:cs="仿宋"/>
                <w:sz w:val="20"/>
                <w:lang w:val="en-US" w:eastAsia="zh-CN" w:bidi="ar"/>
              </w:rPr>
            </w:pPr>
            <w:r>
              <w:rPr>
                <w:rFonts w:hint="eastAsia" w:ascii="仿宋" w:hAnsi="仿宋" w:eastAsia="仿宋" w:cs="仿宋"/>
                <w:sz w:val="20"/>
                <w:lang w:val="en-US" w:eastAsia="zh-CN" w:bidi="ar"/>
              </w:rPr>
              <w:t>注：须提供人员身份证、相关资格证书（若有）、近三个月社保缴纳证明（或劳务合同）复印件。未按要求提供有效证明材料的，本项不得分。</w:t>
            </w:r>
          </w:p>
        </w:tc>
      </w:tr>
      <w:tr w14:paraId="413AB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6" w:hRule="atLeast"/>
          <w:jc w:val="center"/>
        </w:trPr>
        <w:tc>
          <w:tcPr>
            <w:tcW w:w="8522" w:type="dxa"/>
            <w:gridSpan w:val="2"/>
            <w:vAlign w:val="center"/>
          </w:tcPr>
          <w:p w14:paraId="4CC1568F">
            <w:pPr>
              <w:snapToGrid w:val="0"/>
              <w:jc w:val="center"/>
              <w:rPr>
                <w:rFonts w:hint="eastAsia" w:ascii="仿宋" w:hAnsi="仿宋" w:eastAsia="仿宋" w:cs="仿宋"/>
                <w:b/>
                <w:bCs/>
                <w:sz w:val="20"/>
                <w:lang w:bidi="ar"/>
              </w:rPr>
            </w:pPr>
            <w:r>
              <w:rPr>
                <w:rFonts w:hint="eastAsia" w:ascii="仿宋" w:hAnsi="仿宋" w:eastAsia="仿宋" w:cs="仿宋"/>
                <w:b/>
                <w:bCs/>
                <w:sz w:val="24"/>
                <w:szCs w:val="24"/>
              </w:rPr>
              <w:t>二、商务</w:t>
            </w:r>
            <w:r>
              <w:rPr>
                <w:rFonts w:ascii="仿宋" w:hAnsi="仿宋" w:eastAsia="仿宋" w:cs="仿宋"/>
                <w:b/>
                <w:bCs/>
                <w:sz w:val="24"/>
                <w:szCs w:val="24"/>
              </w:rPr>
              <w:t>部分</w:t>
            </w:r>
            <w:r>
              <w:rPr>
                <w:rFonts w:hint="eastAsia" w:ascii="仿宋" w:hAnsi="仿宋" w:eastAsia="仿宋" w:cs="仿宋"/>
                <w:b/>
                <w:bCs/>
                <w:sz w:val="24"/>
                <w:szCs w:val="24"/>
                <w:lang w:val="en-US" w:eastAsia="zh-CN"/>
              </w:rPr>
              <w:t>15</w:t>
            </w:r>
            <w:r>
              <w:rPr>
                <w:rFonts w:ascii="仿宋" w:hAnsi="仿宋" w:eastAsia="仿宋" w:cs="仿宋"/>
                <w:b/>
                <w:bCs/>
                <w:sz w:val="24"/>
                <w:szCs w:val="24"/>
              </w:rPr>
              <w:t>.0分</w:t>
            </w:r>
          </w:p>
        </w:tc>
      </w:tr>
      <w:tr w14:paraId="7F1C3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1" w:hRule="atLeast"/>
          <w:jc w:val="center"/>
        </w:trPr>
        <w:tc>
          <w:tcPr>
            <w:tcW w:w="1345" w:type="dxa"/>
            <w:vAlign w:val="center"/>
          </w:tcPr>
          <w:p w14:paraId="1D429367">
            <w:pPr>
              <w:pStyle w:val="5"/>
              <w:snapToGrid w:val="0"/>
              <w:jc w:val="center"/>
              <w:rPr>
                <w:rFonts w:ascii="仿宋" w:hAnsi="仿宋" w:eastAsia="仿宋" w:cs="仿宋"/>
                <w:b/>
                <w:bCs/>
                <w:sz w:val="24"/>
                <w:szCs w:val="24"/>
                <w:lang w:eastAsia="zh-CN"/>
              </w:rPr>
            </w:pPr>
            <w:r>
              <w:rPr>
                <w:rFonts w:ascii="仿宋" w:hAnsi="仿宋" w:eastAsia="仿宋" w:cs="仿宋"/>
                <w:b/>
                <w:sz w:val="24"/>
                <w:szCs w:val="24"/>
                <w:lang w:eastAsia="zh-CN"/>
              </w:rPr>
              <w:t>评审内容</w:t>
            </w:r>
          </w:p>
        </w:tc>
        <w:tc>
          <w:tcPr>
            <w:tcW w:w="7177" w:type="dxa"/>
            <w:vAlign w:val="center"/>
          </w:tcPr>
          <w:p w14:paraId="43F21EAE">
            <w:pPr>
              <w:pStyle w:val="5"/>
              <w:snapToGrid w:val="0"/>
              <w:jc w:val="center"/>
              <w:rPr>
                <w:rFonts w:ascii="仿宋" w:hAnsi="仿宋" w:eastAsia="仿宋" w:cs="仿宋"/>
                <w:b/>
                <w:bCs/>
                <w:sz w:val="24"/>
                <w:szCs w:val="24"/>
                <w:lang w:eastAsia="zh-CN"/>
              </w:rPr>
            </w:pPr>
            <w:r>
              <w:rPr>
                <w:rFonts w:ascii="仿宋" w:hAnsi="仿宋" w:eastAsia="仿宋" w:cs="仿宋"/>
                <w:b/>
                <w:sz w:val="24"/>
                <w:szCs w:val="24"/>
                <w:lang w:eastAsia="zh-CN"/>
              </w:rPr>
              <w:t>评分细则</w:t>
            </w:r>
          </w:p>
        </w:tc>
      </w:tr>
      <w:tr w14:paraId="49A77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31" w:hRule="atLeast"/>
          <w:jc w:val="center"/>
        </w:trPr>
        <w:tc>
          <w:tcPr>
            <w:tcW w:w="1345" w:type="dxa"/>
            <w:vAlign w:val="center"/>
          </w:tcPr>
          <w:p w14:paraId="6FED3C2B">
            <w:pPr>
              <w:snapToGrid w:val="0"/>
              <w:jc w:val="center"/>
              <w:rPr>
                <w:rFonts w:hint="eastAsia" w:ascii="仿宋" w:hAnsi="仿宋" w:eastAsia="仿宋" w:cs="仿宋"/>
                <w:sz w:val="20"/>
              </w:rPr>
            </w:pPr>
            <w:r>
              <w:rPr>
                <w:rFonts w:hint="eastAsia" w:ascii="仿宋" w:hAnsi="仿宋" w:eastAsia="仿宋" w:cs="仿宋"/>
                <w:sz w:val="20"/>
              </w:rPr>
              <w:t>投标人同类项目业绩情况（</w:t>
            </w:r>
            <w:r>
              <w:rPr>
                <w:rFonts w:hint="eastAsia" w:ascii="仿宋" w:hAnsi="仿宋" w:eastAsia="仿宋" w:cs="仿宋"/>
                <w:sz w:val="20"/>
                <w:lang w:val="en-US" w:eastAsia="zh-CN"/>
              </w:rPr>
              <w:t>10</w:t>
            </w:r>
            <w:r>
              <w:rPr>
                <w:rFonts w:hint="eastAsia" w:ascii="仿宋" w:hAnsi="仿宋" w:eastAsia="仿宋" w:cs="仿宋"/>
                <w:sz w:val="20"/>
              </w:rPr>
              <w:t>.0分）</w:t>
            </w:r>
          </w:p>
        </w:tc>
        <w:tc>
          <w:tcPr>
            <w:tcW w:w="7177" w:type="dxa"/>
            <w:vAlign w:val="center"/>
          </w:tcPr>
          <w:p w14:paraId="034D573D">
            <w:pPr>
              <w:snapToGrid w:val="0"/>
              <w:ind w:firstLine="400" w:firstLineChars="200"/>
              <w:rPr>
                <w:rFonts w:hint="eastAsia" w:ascii="仿宋" w:hAnsi="仿宋" w:eastAsia="仿宋" w:cs="仿宋"/>
                <w:sz w:val="20"/>
                <w:lang w:bidi="ar"/>
              </w:rPr>
            </w:pPr>
            <w:r>
              <w:rPr>
                <w:rFonts w:hint="eastAsia" w:ascii="仿宋" w:hAnsi="仿宋" w:eastAsia="仿宋" w:cs="仿宋"/>
                <w:sz w:val="20"/>
                <w:lang w:bidi="ar"/>
              </w:rPr>
              <w:t>投标人提供202</w:t>
            </w:r>
            <w:r>
              <w:rPr>
                <w:rFonts w:hint="eastAsia" w:ascii="仿宋" w:hAnsi="仿宋" w:eastAsia="仿宋" w:cs="仿宋"/>
                <w:sz w:val="20"/>
                <w:lang w:val="en-US" w:eastAsia="zh-CN" w:bidi="ar"/>
              </w:rPr>
              <w:t>3</w:t>
            </w:r>
            <w:r>
              <w:rPr>
                <w:rFonts w:hint="eastAsia" w:ascii="仿宋" w:hAnsi="仿宋" w:eastAsia="仿宋" w:cs="仿宋"/>
                <w:sz w:val="20"/>
                <w:lang w:bidi="ar"/>
              </w:rPr>
              <w:t>年</w:t>
            </w:r>
            <w:r>
              <w:rPr>
                <w:rFonts w:hint="eastAsia" w:ascii="仿宋" w:hAnsi="仿宋" w:eastAsia="仿宋" w:cs="仿宋"/>
                <w:sz w:val="20"/>
                <w:lang w:val="en-US" w:eastAsia="zh-CN" w:bidi="ar"/>
              </w:rPr>
              <w:t>1</w:t>
            </w:r>
            <w:r>
              <w:rPr>
                <w:rFonts w:hint="eastAsia" w:ascii="仿宋" w:hAnsi="仿宋" w:eastAsia="仿宋" w:cs="仿宋"/>
                <w:sz w:val="20"/>
                <w:lang w:bidi="ar"/>
              </w:rPr>
              <w:t>月1日至本项目</w:t>
            </w:r>
            <w:r>
              <w:rPr>
                <w:rFonts w:hint="eastAsia" w:ascii="仿宋" w:hAnsi="仿宋" w:eastAsia="仿宋" w:cs="仿宋"/>
                <w:sz w:val="20"/>
                <w:lang w:val="en-US" w:eastAsia="zh-CN" w:bidi="ar"/>
              </w:rPr>
              <w:t>响应</w:t>
            </w:r>
            <w:r>
              <w:rPr>
                <w:rFonts w:hint="eastAsia" w:ascii="仿宋" w:hAnsi="仿宋" w:eastAsia="仿宋" w:cs="仿宋"/>
                <w:sz w:val="20"/>
                <w:lang w:bidi="ar"/>
              </w:rPr>
              <w:t>文件提交截止时间前已完成的类似项目业绩</w:t>
            </w:r>
            <w:r>
              <w:rPr>
                <w:rFonts w:hint="eastAsia" w:ascii="仿宋" w:hAnsi="仿宋" w:eastAsia="仿宋" w:cs="仿宋"/>
                <w:sz w:val="20"/>
                <w:lang w:eastAsia="zh-CN" w:bidi="ar"/>
              </w:rPr>
              <w:t>（安全生产宣教活动、应急演练组织、大型活动策划等相关服务）</w:t>
            </w:r>
            <w:r>
              <w:rPr>
                <w:rFonts w:hint="eastAsia" w:ascii="仿宋" w:hAnsi="仿宋" w:eastAsia="仿宋" w:cs="仿宋"/>
                <w:sz w:val="20"/>
                <w:lang w:bidi="ar"/>
              </w:rPr>
              <w:t>，每提供一份证明材料</w:t>
            </w:r>
            <w:r>
              <w:rPr>
                <w:rFonts w:hint="eastAsia" w:ascii="仿宋" w:hAnsi="仿宋" w:eastAsia="仿宋" w:cs="仿宋"/>
                <w:sz w:val="20"/>
                <w:lang w:val="en-US" w:eastAsia="zh-CN" w:bidi="ar"/>
              </w:rPr>
              <w:t>得5</w:t>
            </w:r>
            <w:r>
              <w:rPr>
                <w:rFonts w:hint="eastAsia" w:ascii="仿宋" w:hAnsi="仿宋" w:eastAsia="仿宋" w:cs="仿宋"/>
                <w:sz w:val="20"/>
                <w:lang w:bidi="ar"/>
              </w:rPr>
              <w:t>分，满分</w:t>
            </w:r>
            <w:r>
              <w:rPr>
                <w:rFonts w:hint="eastAsia" w:ascii="仿宋" w:hAnsi="仿宋" w:eastAsia="仿宋" w:cs="仿宋"/>
                <w:sz w:val="20"/>
                <w:lang w:val="en-US" w:eastAsia="zh-CN" w:bidi="ar"/>
              </w:rPr>
              <w:t>10</w:t>
            </w:r>
            <w:r>
              <w:rPr>
                <w:rFonts w:hint="eastAsia" w:ascii="仿宋" w:hAnsi="仿宋" w:eastAsia="仿宋" w:cs="仿宋"/>
                <w:sz w:val="20"/>
                <w:lang w:bidi="ar"/>
              </w:rPr>
              <w:t>分。</w:t>
            </w:r>
          </w:p>
          <w:p w14:paraId="7369F81B">
            <w:pPr>
              <w:snapToGrid w:val="0"/>
              <w:ind w:firstLine="400" w:firstLineChars="200"/>
              <w:rPr>
                <w:rFonts w:hint="eastAsia" w:ascii="仿宋" w:hAnsi="仿宋" w:eastAsia="仿宋" w:cs="仿宋"/>
                <w:sz w:val="20"/>
              </w:rPr>
            </w:pPr>
            <w:r>
              <w:rPr>
                <w:rFonts w:hint="eastAsia" w:ascii="仿宋" w:hAnsi="仿宋" w:eastAsia="仿宋" w:cs="仿宋"/>
                <w:sz w:val="20"/>
                <w:lang w:val="en-US" w:eastAsia="zh-CN" w:bidi="ar"/>
              </w:rPr>
              <w:t>注：</w:t>
            </w:r>
            <w:bookmarkStart w:id="0" w:name="_GoBack"/>
            <w:bookmarkEnd w:id="0"/>
            <w:r>
              <w:rPr>
                <w:rFonts w:hint="eastAsia" w:ascii="仿宋" w:hAnsi="仿宋" w:eastAsia="仿宋" w:cs="仿宋"/>
                <w:sz w:val="20"/>
                <w:lang w:val="en-US" w:eastAsia="zh-CN" w:bidi="ar"/>
              </w:rPr>
              <w:t>响应</w:t>
            </w:r>
            <w:r>
              <w:rPr>
                <w:rFonts w:hint="eastAsia" w:ascii="仿宋" w:hAnsi="仿宋" w:eastAsia="仿宋" w:cs="仿宋"/>
                <w:sz w:val="20"/>
                <w:lang w:bidi="ar"/>
              </w:rPr>
              <w:t>文件中须提供业绩列表及相对应的业绩证明材料，业绩证明材料为中标（成交）通知书或合同（合同首页、标的所在页及合同签字盖章页）。无证明材料或证明材料不明确、无法体现业绩内容的，不予认可。</w:t>
            </w:r>
          </w:p>
        </w:tc>
      </w:tr>
      <w:tr w14:paraId="5085D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28" w:hRule="atLeast"/>
          <w:jc w:val="center"/>
        </w:trPr>
        <w:tc>
          <w:tcPr>
            <w:tcW w:w="1345" w:type="dxa"/>
            <w:vAlign w:val="center"/>
          </w:tcPr>
          <w:p w14:paraId="2F219C8F">
            <w:pPr>
              <w:pStyle w:val="5"/>
              <w:snapToGrid w:val="0"/>
              <w:jc w:val="center"/>
              <w:rPr>
                <w:rFonts w:ascii="仿宋" w:hAnsi="仿宋" w:eastAsia="仿宋" w:cs="仿宋"/>
              </w:rPr>
            </w:pPr>
            <w:r>
              <w:rPr>
                <w:rFonts w:ascii="仿宋" w:hAnsi="仿宋" w:eastAsia="仿宋" w:cs="仿宋"/>
              </w:rPr>
              <w:t>诚信记录(5.0分)</w:t>
            </w:r>
          </w:p>
        </w:tc>
        <w:tc>
          <w:tcPr>
            <w:tcW w:w="7177" w:type="dxa"/>
            <w:vAlign w:val="center"/>
          </w:tcPr>
          <w:p w14:paraId="73D0A97C">
            <w:pPr>
              <w:pStyle w:val="5"/>
              <w:snapToGrid w:val="0"/>
              <w:rPr>
                <w:rFonts w:ascii="仿宋" w:hAnsi="仿宋" w:eastAsia="仿宋" w:cs="仿宋"/>
              </w:rPr>
            </w:pPr>
            <w:r>
              <w:rPr>
                <w:rFonts w:ascii="仿宋" w:hAnsi="仿宋" w:eastAsia="仿宋" w:cs="仿宋"/>
              </w:rPr>
              <w:t>根据《关于加强珠海市政府采购供应商诚信管理有关事项的通知》(珠财采通(2022)20号)要求，对供应商的诚信状况（普通失信行为）进行评分，具体计算公式如下：诚信记录评审得分=供应商上一年度诚信记录得分×5%。注：1.采购代理机构于投标截止时间后，在评审活动开始前，通过广东政府采购网“其他监管检查公告”栏和珠海市财政局网站“信用财政”栏查询投标（响应）供应商的诚信状况（即供应商上一年度的诚信记录得分），提供给评标委员会，由评标委员会根据上述公式进行评审打分。2.首次参加珠海市政府采购活动的供应商诚信管理基础得分为100分，在广东政府采购网“其他监管检查公告”栏和珠海市财政局网站“信用财政”栏查询不到相关供应商扣分记录的，视为该供应商上一年度诚信记录得分为100分。</w:t>
            </w:r>
          </w:p>
        </w:tc>
      </w:tr>
      <w:tr w14:paraId="272525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6" w:hRule="atLeast"/>
          <w:jc w:val="center"/>
        </w:trPr>
        <w:tc>
          <w:tcPr>
            <w:tcW w:w="8522" w:type="dxa"/>
            <w:gridSpan w:val="2"/>
            <w:vAlign w:val="center"/>
          </w:tcPr>
          <w:p w14:paraId="1D383AFE">
            <w:pPr>
              <w:pStyle w:val="5"/>
              <w:snapToGrid w:val="0"/>
              <w:jc w:val="center"/>
              <w:rPr>
                <w:rFonts w:ascii="仿宋" w:hAnsi="仿宋" w:eastAsia="仿宋" w:cs="仿宋"/>
              </w:rPr>
            </w:pPr>
            <w:r>
              <w:rPr>
                <w:rFonts w:ascii="仿宋" w:hAnsi="仿宋" w:eastAsia="仿宋" w:cs="仿宋"/>
                <w:b/>
                <w:bCs/>
                <w:sz w:val="24"/>
                <w:szCs w:val="24"/>
                <w:lang w:eastAsia="zh-CN"/>
              </w:rPr>
              <w:t>三、价格指标评分1</w:t>
            </w:r>
            <w:r>
              <w:rPr>
                <w:rFonts w:hint="eastAsia" w:ascii="仿宋" w:hAnsi="仿宋" w:eastAsia="仿宋" w:cs="仿宋"/>
                <w:b/>
                <w:bCs/>
                <w:sz w:val="24"/>
                <w:szCs w:val="24"/>
                <w:lang w:val="en-US" w:eastAsia="zh-CN"/>
              </w:rPr>
              <w:t>5</w:t>
            </w:r>
            <w:r>
              <w:rPr>
                <w:rFonts w:ascii="仿宋" w:hAnsi="仿宋" w:eastAsia="仿宋" w:cs="仿宋"/>
                <w:b/>
                <w:bCs/>
                <w:sz w:val="24"/>
                <w:szCs w:val="24"/>
              </w:rPr>
              <w:t>分</w:t>
            </w:r>
          </w:p>
        </w:tc>
      </w:tr>
      <w:tr w14:paraId="17FE8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1" w:hRule="atLeast"/>
          <w:jc w:val="center"/>
        </w:trPr>
        <w:tc>
          <w:tcPr>
            <w:tcW w:w="1345" w:type="dxa"/>
            <w:vAlign w:val="center"/>
          </w:tcPr>
          <w:p w14:paraId="7C025460">
            <w:pPr>
              <w:pStyle w:val="5"/>
              <w:snapToGrid w:val="0"/>
              <w:jc w:val="center"/>
              <w:rPr>
                <w:rFonts w:ascii="仿宋" w:hAnsi="仿宋" w:eastAsia="仿宋" w:cs="仿宋"/>
                <w:b/>
                <w:bCs/>
                <w:sz w:val="24"/>
                <w:szCs w:val="24"/>
                <w:lang w:eastAsia="zh-CN"/>
              </w:rPr>
            </w:pPr>
            <w:r>
              <w:rPr>
                <w:rFonts w:ascii="仿宋" w:hAnsi="仿宋" w:eastAsia="仿宋" w:cs="仿宋"/>
                <w:b/>
                <w:sz w:val="24"/>
                <w:szCs w:val="24"/>
                <w:lang w:eastAsia="zh-CN"/>
              </w:rPr>
              <w:t>评审内容</w:t>
            </w:r>
          </w:p>
        </w:tc>
        <w:tc>
          <w:tcPr>
            <w:tcW w:w="7177" w:type="dxa"/>
            <w:vAlign w:val="center"/>
          </w:tcPr>
          <w:p w14:paraId="1F39BB0E">
            <w:pPr>
              <w:pStyle w:val="5"/>
              <w:snapToGrid w:val="0"/>
              <w:jc w:val="center"/>
              <w:rPr>
                <w:rFonts w:ascii="仿宋" w:hAnsi="仿宋" w:eastAsia="仿宋" w:cs="仿宋"/>
                <w:b/>
                <w:bCs/>
                <w:sz w:val="24"/>
                <w:szCs w:val="24"/>
                <w:lang w:eastAsia="zh-CN"/>
              </w:rPr>
            </w:pPr>
            <w:r>
              <w:rPr>
                <w:rFonts w:ascii="仿宋" w:hAnsi="仿宋" w:eastAsia="仿宋" w:cs="仿宋"/>
                <w:b/>
                <w:sz w:val="24"/>
                <w:szCs w:val="24"/>
                <w:lang w:eastAsia="zh-CN"/>
              </w:rPr>
              <w:t>评分细则</w:t>
            </w:r>
          </w:p>
        </w:tc>
      </w:tr>
      <w:tr w14:paraId="77F729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62" w:hRule="atLeast"/>
          <w:jc w:val="center"/>
        </w:trPr>
        <w:tc>
          <w:tcPr>
            <w:tcW w:w="1345" w:type="dxa"/>
            <w:vAlign w:val="center"/>
          </w:tcPr>
          <w:p w14:paraId="71FFA52B">
            <w:pPr>
              <w:pStyle w:val="5"/>
              <w:snapToGrid w:val="0"/>
              <w:jc w:val="center"/>
              <w:rPr>
                <w:rFonts w:ascii="仿宋" w:hAnsi="仿宋" w:eastAsia="仿宋" w:cs="仿宋"/>
              </w:rPr>
            </w:pPr>
            <w:r>
              <w:rPr>
                <w:rFonts w:ascii="仿宋" w:hAnsi="仿宋" w:eastAsia="仿宋" w:cs="仿宋"/>
                <w:lang w:eastAsia="zh-CN"/>
              </w:rPr>
              <w:t>响应</w:t>
            </w:r>
            <w:r>
              <w:rPr>
                <w:rFonts w:ascii="仿宋" w:hAnsi="仿宋" w:eastAsia="仿宋" w:cs="仿宋"/>
              </w:rPr>
              <w:t>报价得分(</w:t>
            </w:r>
            <w:r>
              <w:rPr>
                <w:rFonts w:hint="eastAsia" w:ascii="仿宋" w:hAnsi="仿宋" w:eastAsia="仿宋" w:cs="仿宋"/>
                <w:lang w:val="en-US" w:eastAsia="zh-CN"/>
              </w:rPr>
              <w:t>15</w:t>
            </w:r>
            <w:r>
              <w:rPr>
                <w:rFonts w:ascii="仿宋" w:hAnsi="仿宋" w:eastAsia="仿宋" w:cs="仿宋"/>
              </w:rPr>
              <w:t>.0分)</w:t>
            </w:r>
          </w:p>
        </w:tc>
        <w:tc>
          <w:tcPr>
            <w:tcW w:w="7177" w:type="dxa"/>
            <w:vAlign w:val="center"/>
          </w:tcPr>
          <w:p w14:paraId="4BBE1CAD">
            <w:r>
              <w:rPr>
                <w:rFonts w:ascii="仿宋" w:hAnsi="仿宋" w:eastAsia="仿宋" w:cs="仿宋"/>
                <w:color w:val="000000"/>
                <w:sz w:val="20"/>
                <w:lang w:bidi="ar"/>
              </w:rPr>
              <w:t>各供应商的投标报价得分按以下公式进行计算：</w:t>
            </w:r>
          </w:p>
          <w:p w14:paraId="0D4DB9B3">
            <w:r>
              <w:rPr>
                <w:rFonts w:hint="eastAsia" w:ascii="仿宋" w:hAnsi="仿宋" w:eastAsia="仿宋" w:cs="仿宋"/>
                <w:color w:val="000000"/>
                <w:sz w:val="20"/>
                <w:lang w:bidi="ar"/>
              </w:rPr>
              <w:t>投标报价得分=(评标基准价/评标价)×1</w:t>
            </w:r>
            <w:r>
              <w:rPr>
                <w:rFonts w:hint="eastAsia" w:ascii="仿宋" w:hAnsi="仿宋" w:eastAsia="仿宋" w:cs="仿宋"/>
                <w:color w:val="000000"/>
                <w:sz w:val="20"/>
                <w:lang w:val="en-US" w:eastAsia="zh-CN" w:bidi="ar"/>
              </w:rPr>
              <w:t>5</w:t>
            </w:r>
            <w:r>
              <w:rPr>
                <w:rFonts w:hint="eastAsia" w:ascii="仿宋" w:hAnsi="仿宋" w:eastAsia="仿宋" w:cs="仿宋"/>
                <w:color w:val="000000"/>
                <w:sz w:val="20"/>
                <w:lang w:bidi="ar"/>
              </w:rPr>
              <w:t>%×100。</w:t>
            </w:r>
          </w:p>
          <w:p w14:paraId="0CFF0605">
            <w:r>
              <w:rPr>
                <w:rFonts w:hint="eastAsia" w:ascii="仿宋" w:hAnsi="仿宋" w:eastAsia="仿宋" w:cs="仿宋"/>
                <w:color w:val="000000"/>
                <w:sz w:val="20"/>
                <w:lang w:bidi="ar"/>
              </w:rPr>
              <w:t>评标基准价为满足采购需求文件要求最低的评标价，其价格分为满分。评标价</w:t>
            </w:r>
          </w:p>
          <w:p w14:paraId="1CD19333">
            <w:r>
              <w:rPr>
                <w:rFonts w:hint="eastAsia" w:ascii="仿宋" w:hAnsi="仿宋" w:eastAsia="仿宋" w:cs="仿宋"/>
                <w:color w:val="000000"/>
                <w:sz w:val="20"/>
                <w:lang w:bidi="ar"/>
              </w:rPr>
              <w:t>为在报价基础上作算术修正后的价格，无算术修正情况下，报价即为评标价。</w:t>
            </w:r>
          </w:p>
          <w:p w14:paraId="1D839D57">
            <w:r>
              <w:rPr>
                <w:rFonts w:hint="eastAsia" w:ascii="仿宋" w:hAnsi="仿宋" w:eastAsia="仿宋" w:cs="仿宋"/>
                <w:color w:val="000000"/>
                <w:sz w:val="20"/>
                <w:lang w:bidi="ar"/>
              </w:rPr>
              <w:t>若投标报价高于报价上限，则其投标文件按无效投标文件处理。（保留小数点</w:t>
            </w:r>
          </w:p>
          <w:p w14:paraId="03AD6354">
            <w:pPr>
              <w:rPr>
                <w:rFonts w:hint="eastAsia" w:ascii="仿宋" w:hAnsi="仿宋" w:eastAsia="仿宋" w:cs="仿宋"/>
              </w:rPr>
            </w:pPr>
            <w:r>
              <w:rPr>
                <w:rFonts w:hint="eastAsia" w:ascii="仿宋" w:hAnsi="仿宋" w:eastAsia="仿宋" w:cs="仿宋"/>
                <w:color w:val="000000"/>
                <w:sz w:val="20"/>
                <w:lang w:bidi="ar"/>
              </w:rPr>
              <w:t>后二位）</w:t>
            </w:r>
          </w:p>
        </w:tc>
      </w:tr>
    </w:tbl>
    <w:p w14:paraId="535752EF">
      <w:r>
        <w:rPr>
          <w:rFonts w:ascii="仿宋" w:hAnsi="仿宋" w:eastAsia="仿宋" w:cs="仿宋"/>
          <w:color w:val="000000"/>
          <w:sz w:val="20"/>
          <w:lang w:bidi="ar"/>
        </w:rPr>
        <w:t>说明：</w:t>
      </w:r>
    </w:p>
    <w:p w14:paraId="5F28B473">
      <w:r>
        <w:rPr>
          <w:rFonts w:hint="eastAsia" w:ascii="仿宋" w:hAnsi="仿宋" w:eastAsia="仿宋" w:cs="仿宋"/>
          <w:color w:val="000000"/>
          <w:sz w:val="20"/>
          <w:lang w:bidi="ar"/>
        </w:rPr>
        <w:t>1.将所有商务技术评价指标所得实际评价分数相加，即为该供应商的商务技术评价得分，所有评委评出的商务技术评价得分取平均值为该供应商的商务技术标得分。</w:t>
      </w:r>
    </w:p>
    <w:p w14:paraId="6D931462">
      <w:r>
        <w:rPr>
          <w:rFonts w:hint="eastAsia" w:ascii="仿宋" w:hAnsi="仿宋" w:eastAsia="仿宋" w:cs="仿宋"/>
          <w:color w:val="000000"/>
          <w:sz w:val="20"/>
          <w:lang w:bidi="ar"/>
        </w:rPr>
        <w:t>2.投标最终得分=技术标得分＋商务标得分＋经济价格标得分。</w:t>
      </w:r>
    </w:p>
    <w:p w14:paraId="5D893BFF">
      <w:r>
        <w:rPr>
          <w:rFonts w:hint="eastAsia" w:ascii="仿宋" w:hAnsi="仿宋" w:eastAsia="仿宋" w:cs="仿宋"/>
          <w:color w:val="000000"/>
          <w:sz w:val="20"/>
          <w:lang w:bidi="ar"/>
        </w:rPr>
        <w:t>3.如“总分”相同，报价价格低的投标单位中标。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C063CB"/>
    <w:rsid w:val="03906A9D"/>
    <w:rsid w:val="05D2339D"/>
    <w:rsid w:val="076170CE"/>
    <w:rsid w:val="19DD04FE"/>
    <w:rsid w:val="1A666AF1"/>
    <w:rsid w:val="1B1C0EEA"/>
    <w:rsid w:val="1B7E3953"/>
    <w:rsid w:val="1B9F52EF"/>
    <w:rsid w:val="1DB45D52"/>
    <w:rsid w:val="204213F3"/>
    <w:rsid w:val="27F11AD1"/>
    <w:rsid w:val="2C120CF4"/>
    <w:rsid w:val="2C7A1F15"/>
    <w:rsid w:val="2E7D3F3E"/>
    <w:rsid w:val="31B9703B"/>
    <w:rsid w:val="32C063CB"/>
    <w:rsid w:val="346E55E0"/>
    <w:rsid w:val="385A4814"/>
    <w:rsid w:val="38B706D0"/>
    <w:rsid w:val="39C12F31"/>
    <w:rsid w:val="3D5F13DF"/>
    <w:rsid w:val="465B470D"/>
    <w:rsid w:val="49902920"/>
    <w:rsid w:val="4BA34342"/>
    <w:rsid w:val="4C03562B"/>
    <w:rsid w:val="4F5405C8"/>
    <w:rsid w:val="5AD563E4"/>
    <w:rsid w:val="5B590FC4"/>
    <w:rsid w:val="5BC621D1"/>
    <w:rsid w:val="5C0276AD"/>
    <w:rsid w:val="5CAF1960"/>
    <w:rsid w:val="5DFB2606"/>
    <w:rsid w:val="60600E46"/>
    <w:rsid w:val="60FB46CB"/>
    <w:rsid w:val="633F4D43"/>
    <w:rsid w:val="66287D10"/>
    <w:rsid w:val="710B44B6"/>
    <w:rsid w:val="7352461E"/>
    <w:rsid w:val="7417661F"/>
    <w:rsid w:val="743D03D9"/>
    <w:rsid w:val="76EB7264"/>
    <w:rsid w:val="7E097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paragraph" w:customStyle="1" w:styleId="5">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横琴新区</Company>
  <Pages>5</Pages>
  <Words>4387</Words>
  <Characters>4492</Characters>
  <Lines>0</Lines>
  <Paragraphs>0</Paragraphs>
  <TotalTime>16</TotalTime>
  <ScaleCrop>false</ScaleCrop>
  <LinksUpToDate>false</LinksUpToDate>
  <CharactersWithSpaces>4513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2026-05-28T03:11:00Z</dcterms:created>
  <dc:creator>子劲</dc:creator>
  <cp:lastModifiedBy>子劲</cp:lastModifiedBy>
  <dcterms:modified xsi:type="dcterms:W3CDTF">2026-06-05T06:52:27Z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196853AC4E7D406F8BA9988A03534C41_11</vt:lpwstr>
  </property>
  <property fmtid="{D5CDD505-2E9C-101B-9397-08002B2CF9AE}" pid="4" name="KSOTemplateDocerSaveRecord">
    <vt:lpwstr>eyJoZGlkIjoiNzJkZjkxZjI5MGNlYjQzNjkzODE5NjY0MjNhZWU2NGMiLCJ1c2VySWQiOiIzNjAxMzk3NDMifQ==</vt:lpwstr>
  </property>
</Properties>
</file>