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insoku/>
        <w:spacing w:before="0" w:after="0" w:line="240" w:lineRule="auto"/>
        <w:jc w:val="center"/>
        <w:rPr>
          <w:rFonts w:hint="eastAsia" w:ascii="方正小标宋简体" w:hAnsi="微软雅黑" w:eastAsia="方正小标宋简体" w:cs="微软雅黑"/>
          <w:b w:val="0"/>
          <w:highlight w:val="none"/>
          <w:lang w:eastAsia="zh-CN"/>
        </w:rPr>
      </w:pPr>
      <w:bookmarkStart w:id="0" w:name="_Toc226043539"/>
      <w:bookmarkStart w:id="1" w:name="_Toc24997"/>
      <w:r>
        <w:rPr>
          <w:rFonts w:hint="eastAsia" w:ascii="方正小标宋简体" w:hAnsi="微软雅黑" w:eastAsia="方正小标宋简体" w:cs="微软雅黑"/>
          <w:b w:val="0"/>
          <w:highlight w:val="none"/>
          <w:lang w:eastAsia="zh-CN"/>
        </w:rPr>
        <w:t>项目需求书</w:t>
      </w:r>
      <w:bookmarkEnd w:id="0"/>
      <w:bookmarkEnd w:id="1"/>
    </w:p>
    <w:p>
      <w:pPr>
        <w:numPr>
          <w:ilvl w:val="255"/>
          <w:numId w:val="0"/>
        </w:numPr>
        <w:kinsoku/>
        <w:spacing w:line="360" w:lineRule="auto"/>
        <w:rPr>
          <w:rFonts w:ascii="Times New Roman" w:hAnsi="Times New Roman" w:eastAsia="仿宋_GB2312" w:cs="仿宋_GB2312"/>
          <w:b/>
          <w:bCs/>
          <w:sz w:val="28"/>
          <w:szCs w:val="28"/>
          <w:highlight w:val="none"/>
          <w:lang w:eastAsia="zh-CN"/>
        </w:rPr>
      </w:pPr>
    </w:p>
    <w:p>
      <w:pPr>
        <w:numPr>
          <w:ilvl w:val="255"/>
          <w:numId w:val="0"/>
        </w:numPr>
        <w:kinsoku/>
        <w:spacing w:line="360" w:lineRule="auto"/>
        <w:rPr>
          <w:rFonts w:ascii="Times New Roman" w:hAnsi="Times New Roman" w:eastAsia="仿宋_GB2312" w:cs="仿宋_GB2312"/>
          <w:b/>
          <w:bCs/>
          <w:sz w:val="28"/>
          <w:szCs w:val="28"/>
          <w:highlight w:val="none"/>
          <w:lang w:eastAsia="zh-CN"/>
        </w:rPr>
      </w:pPr>
      <w:r>
        <w:rPr>
          <w:rFonts w:hint="eastAsia" w:ascii="Times New Roman" w:hAnsi="Times New Roman" w:eastAsia="仿宋_GB2312" w:cs="仿宋_GB2312"/>
          <w:b/>
          <w:bCs/>
          <w:sz w:val="28"/>
          <w:szCs w:val="28"/>
          <w:highlight w:val="none"/>
          <w:lang w:eastAsia="zh-CN"/>
        </w:rPr>
        <w:t>一、项目名称：横琴粤澳深度合作区城市规划和建设局2026年环卫垃圾分类技术咨询项目</w:t>
      </w:r>
    </w:p>
    <w:p>
      <w:pPr>
        <w:kinsoku/>
        <w:spacing w:line="360" w:lineRule="auto"/>
        <w:rPr>
          <w:rFonts w:ascii="Times New Roman" w:hAnsi="Times New Roman" w:eastAsia="仿宋_GB2312" w:cs="仿宋_GB2312"/>
          <w:b/>
          <w:bCs/>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eastAsia="zh-CN"/>
        </w:rPr>
        <w:t>二、项目背景</w:t>
      </w:r>
    </w:p>
    <w:p>
      <w:pPr>
        <w:kinsoku/>
        <w:spacing w:line="360" w:lineRule="auto"/>
        <w:ind w:firstLine="495" w:firstLineChars="177"/>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为深入贯彻市容环境管理高质量发展要求，落实相关规划与指引，破解生活垃圾分类、市容环卫、建筑垃圾监管等领域短板，强化横琴粤澳协同环保理念融合，依据现行法律法规及技术标准，本项目以精细化管理、提质增效为核心，需通过专业化技术服务完善长效管理机制、规范管养服务、强化技术支撑与监督指导，助力提升合作区市容环境品质，打造宜居宜业环境、彰显琴澳融合生态文明特色，为合作区发展提供市容环境保障，因此特开展本次项目招标，选聘具备资质和能力的单位提供全方位、专业化、精准化技术服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0"/>
        <w:gridCol w:w="2233"/>
        <w:gridCol w:w="223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70" w:type="dxa"/>
            <w:vAlign w:val="center"/>
          </w:tcPr>
          <w:p>
            <w:pPr>
              <w:pStyle w:val="7"/>
              <w:widowControl w:val="0"/>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项目名称</w:t>
            </w:r>
          </w:p>
        </w:tc>
        <w:tc>
          <w:tcPr>
            <w:tcW w:w="2233" w:type="dxa"/>
            <w:vAlign w:val="center"/>
          </w:tcPr>
          <w:p>
            <w:pPr>
              <w:pStyle w:val="7"/>
              <w:widowControl w:val="0"/>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服务期限</w:t>
            </w:r>
          </w:p>
        </w:tc>
        <w:tc>
          <w:tcPr>
            <w:tcW w:w="2233" w:type="dxa"/>
            <w:vAlign w:val="center"/>
          </w:tcPr>
          <w:p>
            <w:pPr>
              <w:pStyle w:val="17"/>
              <w:widowControl w:val="0"/>
              <w:jc w:val="center"/>
              <w:rPr>
                <w:rFonts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最高限价</w:t>
            </w:r>
          </w:p>
          <w:p>
            <w:pPr>
              <w:pStyle w:val="7"/>
              <w:widowControl w:val="0"/>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（人民币元）</w:t>
            </w:r>
          </w:p>
        </w:tc>
        <w:tc>
          <w:tcPr>
            <w:tcW w:w="1686" w:type="dxa"/>
            <w:vAlign w:val="center"/>
          </w:tcPr>
          <w:p>
            <w:pPr>
              <w:pStyle w:val="7"/>
              <w:widowControl w:val="0"/>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vAlign w:val="center"/>
          </w:tcPr>
          <w:p>
            <w:pPr>
              <w:pStyle w:val="7"/>
              <w:widowControl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2026年环卫垃圾分类技术咨询项目</w:t>
            </w:r>
          </w:p>
        </w:tc>
        <w:tc>
          <w:tcPr>
            <w:tcW w:w="2233" w:type="dxa"/>
            <w:vAlign w:val="center"/>
          </w:tcPr>
          <w:p>
            <w:pPr>
              <w:pStyle w:val="7"/>
              <w:widowControl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自合同签订之日起1年</w:t>
            </w:r>
          </w:p>
        </w:tc>
        <w:tc>
          <w:tcPr>
            <w:tcW w:w="2233" w:type="dxa"/>
            <w:vAlign w:val="center"/>
          </w:tcPr>
          <w:p>
            <w:pPr>
              <w:pStyle w:val="7"/>
              <w:widowControl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926,265.60</w:t>
            </w:r>
          </w:p>
        </w:tc>
        <w:tc>
          <w:tcPr>
            <w:tcW w:w="1686" w:type="dxa"/>
            <w:vAlign w:val="center"/>
          </w:tcPr>
          <w:p>
            <w:pPr>
              <w:pStyle w:val="7"/>
              <w:widowControl w:val="0"/>
              <w:jc w:val="center"/>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3" w:type="dxa"/>
            <w:gridSpan w:val="2"/>
            <w:vAlign w:val="center"/>
          </w:tcPr>
          <w:p>
            <w:pPr>
              <w:pStyle w:val="7"/>
              <w:widowControl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合计</w:t>
            </w:r>
          </w:p>
        </w:tc>
        <w:tc>
          <w:tcPr>
            <w:tcW w:w="3919" w:type="dxa"/>
            <w:gridSpan w:val="2"/>
            <w:vAlign w:val="center"/>
          </w:tcPr>
          <w:p>
            <w:pPr>
              <w:pStyle w:val="7"/>
              <w:widowControl w:val="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926,265.60元</w:t>
            </w:r>
          </w:p>
        </w:tc>
      </w:tr>
    </w:tbl>
    <w:p>
      <w:pPr>
        <w:pStyle w:val="7"/>
        <w:rPr>
          <w:highlight w:val="none"/>
          <w:lang w:eastAsia="zh-CN"/>
        </w:rPr>
      </w:pPr>
    </w:p>
    <w:p>
      <w:pPr>
        <w:kinsoku/>
        <w:spacing w:line="360" w:lineRule="auto"/>
        <w:rPr>
          <w:rFonts w:ascii="Times New Roman" w:hAnsi="Times New Roman" w:eastAsia="仿宋_GB2312" w:cs="仿宋_GB2312"/>
          <w:b/>
          <w:bCs/>
          <w:sz w:val="28"/>
          <w:szCs w:val="28"/>
          <w:highlight w:val="none"/>
          <w:lang w:eastAsia="zh-CN"/>
        </w:rPr>
      </w:pPr>
      <w:r>
        <w:rPr>
          <w:rFonts w:hint="eastAsia" w:ascii="Times New Roman" w:hAnsi="Times New Roman" w:eastAsia="仿宋_GB2312" w:cs="仿宋_GB2312"/>
          <w:b/>
          <w:bCs/>
          <w:sz w:val="28"/>
          <w:szCs w:val="28"/>
          <w:highlight w:val="none"/>
          <w:lang w:eastAsia="zh-CN"/>
        </w:rPr>
        <w:t>三、项目总体目标</w:t>
      </w:r>
    </w:p>
    <w:p>
      <w:pPr>
        <w:kinsoku/>
        <w:spacing w:line="360" w:lineRule="auto"/>
        <w:ind w:firstLine="495" w:firstLineChars="177"/>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1、提升垃圾分类实效：完善合作区垃圾分类示范创建评估标准，定期开展资料核查和现场评估，总结成效亮点并提出存在问题，通过“回头看”复核整改情况，推动分类工作持续提质。</w:t>
      </w:r>
    </w:p>
    <w:p>
      <w:pPr>
        <w:kinsoku/>
        <w:spacing w:line="360" w:lineRule="auto"/>
        <w:ind w:firstLine="495" w:firstLineChars="177"/>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2、完善环卫管养考评体系：修订市容环卫管养考核标准，强化日常巡查、计划审核、问题督办与考核联动，实现环卫管养全过程规范化、闭环化管理。</w:t>
      </w:r>
    </w:p>
    <w:p>
      <w:pPr>
        <w:kinsoku/>
        <w:spacing w:line="360" w:lineRule="auto"/>
        <w:ind w:firstLine="495" w:firstLineChars="177"/>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3、强化建筑垃圾闭环监管：协助开展建筑垃圾处置申请材料初审，建立建筑垃圾全流程监管辅助机制，动态完善管理台账并开展数据分析，按季度形成监管分析报告，构建“源头管控—过程核查—末端处置”全链条管理体系，为执法监管与决策优化提供数据支撑。</w:t>
      </w:r>
    </w:p>
    <w:p>
      <w:pPr>
        <w:kinsoku/>
        <w:spacing w:line="360" w:lineRule="auto"/>
        <w:ind w:firstLine="495" w:firstLineChars="177"/>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4、强化环卫综合服务支撑：通过垃圾分类顾问、专项培训、满意度调查及环卫技术指导等，动态支撑生活垃圾分类与建筑垃圾管理，协助编制市容环卫领域规范性文件，以专业服务与技术赋能提升合作区市容环卫规范化管理水平。</w:t>
      </w:r>
    </w:p>
    <w:p>
      <w:pPr>
        <w:kinsoku/>
        <w:spacing w:line="360" w:lineRule="auto"/>
        <w:rPr>
          <w:rFonts w:ascii="Times New Roman" w:hAnsi="Times New Roman" w:eastAsia="仿宋_GB2312" w:cs="仿宋_GB2312"/>
          <w:b/>
          <w:bCs/>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eastAsia="zh-CN"/>
        </w:rPr>
        <w:t>四、工作内容及相关要求</w:t>
      </w:r>
    </w:p>
    <w:p>
      <w:pPr>
        <w:kinsoku/>
        <w:spacing w:line="360" w:lineRule="auto"/>
        <w:rPr>
          <w:rFonts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eastAsia="zh-CN"/>
        </w:rPr>
        <w:t>（一）工作内容</w:t>
      </w:r>
    </w:p>
    <w:p>
      <w:pPr>
        <w:pStyle w:val="10"/>
        <w:kinsoku/>
        <w:spacing w:line="360" w:lineRule="auto"/>
        <w:ind w:left="0" w:leftChars="0" w:firstLine="281" w:firstLineChars="10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1、生活垃圾分类工作评估</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1）生活垃圾分类示范创建检查</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按照《广东省城市生活垃圾分类示范创建指引（试行）》《横琴粤澳深度合作区垃圾分类考核评估制度》等相关要求，每两个月开展一次生活垃圾分类第三方考核工作，包括现场30个创建单位的资料核查和现场抽查工作，重点核查分类设施配置、分类投放准确率、资料归档完整性等情况，兼顾琴澳融合区域的分类特色要求。</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每两个月出具一份评估报告（包括但不限于评估情况、问题分析及提升建议等），全面反映考核结果、存在短板及优化方向，全年共计6份。年度末出具总结分析报告1份，系统梳理全年考核情况、成效亮点、突出问题，结合合作区垃圾分类工作实际及琴澳协同需求，提出针对性、可落地的年度改进方案。</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3）同时对垃圾分类存在问题开展“回头看”检查，复核整改情况，重点核查问题整改闭环率、整改质量，检查后10天内出具整改建议、示范点位推荐表，以及整改优化报告，考核共计2次60个点位，确保问题整改到位、示范效应凸显，推动分类工作持续提质。</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2）生活垃圾分类技术咨询</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按照广东省示范创建标准，结合横琴粤澳深度合作区琴澳融合的独特定位，对制定横琴粤澳深度合作区垃圾分类示范创建检查标准提出建设性意见，确保标准贴合合作区实际、兼具科学性与可操作性，衔接澳门相关环保管理理念。</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基于《横琴粤澳深度合作区生活垃圾分类考核办法（试行）》要求，协助排查和梳理垃圾分类管养过程中存在问题，重点关注设施配置、督导力度、收运衔接等关键环节，提供专业技术指导建议，助力解决分类工作难点、堵点问题，如小型餐饮单位厨余垃圾分出率提升等重点工作。</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3）提供垃圾分类管理顾问服务，每月收集整理国内外先进城市及澳门地区优秀垃圾分类工作经验，结合合作区实际情况进行适配性分析，为高质量地推动垃圾分类工作提供参考经验，明确横琴粤澳深度合作区（岛内及一体化区域）垃圾分类工作方向，助力构建琴澳协同的垃圾分类管理体系。</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2、市容环卫工作检查</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1）检查办法及报告</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整理检查工作明细（包括管养范围、管养内容、管养单位、管养金额等），全面梳理合作区市容环卫管养现状，对已有月度检查工作计划、项目检查办法及评分细则提出合理化建议，结合智慧环卫、人机协同等先进作业模式的要求优化检查流程，确保检查工作科学、规范、高效，并严格按照要求落实、执行各项检查任务。</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对现有市容环卫管养服务水准、应急能力、人机配备、作业流程等多方面进行全方位检查，重点关注重大活动、重要节日期间的环卫保障情况，每月出具《市容环卫检查报告》，客观反映管养单位工作成效、存在问题，明确整改要求及时限，作为对管养单位工作成果考核及管养费用支付的重要参考依据。</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3）基于检查情况，每季度出具《横琴粤澳深度合作区市容环卫管养检查工作阶段性报告》，梳理阶段性工作成效、存在短板及改进方向；年度末对市容环卫管养年度工作进行全面总结，形成年度总结报告，为制定下一年度市容环卫管理工作计划提供技术支撑。</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2）日常检查工作开展</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（1）做好日常检查巡查工作，明确巡查路线、巡查重点，记录检查情况，形成完整、规范的巡查工作台账，详细记录发现的问题、处置情况及跟进结果，实现巡查工作可追溯、可核查。</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（2）审核管养单位提交的月、年度工作计划，结合合作区市容环卫管理实际需求及先进城市经验，从作业效率、质量标准、应急处置、成本控制等方面提出合理化建议，助力优化管养方案。</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3）严格按照设施养护规范及检查计划开展工作，对检查中发现的市容环卫设施损坏、保洁不到位、应急处置不及时等问题，及时提出合理意见建议，出具业务联系单，明确整改内容、时限及标准，全程跟进整改情况，确保问题闭环整改。</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（4）配合组织和参加养护考核工作例会，认真记录会议内容、明确会议要求，会后及时整理形成会议纪要，梳理会议确定的各项工作任务，跟进落实情况并反馈。</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3）市容环境管养考核标准修订服务</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结合横琴粤澳深度合作区市容环境管理实际、相关法律法规及行业规范、现有考核制度，参考澳门成熟的考核办法，修订科学、合理、可操作的市容环境管养考核标准。标准需覆盖道路清扫保洁、垃圾处理、公共设施维护等环卫管养全领域，明确考核指标、方法、评分标准、频次及奖惩机制，确保考核工作有章可循、有据可依。</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每年度至少1次，结合市容环境管理新形势、新要求（如城市发展规划调整、市民需求变化、行业技术升级等），对现有考核标准进行评估、修订和完善。针对考核中发现的标准不合理、不适用、不全面等问题，及时提出修订建议，形成方案报经审核确认后实施。</w:t>
      </w:r>
    </w:p>
    <w:p>
      <w:pPr>
        <w:pStyle w:val="10"/>
        <w:kinsoku/>
        <w:spacing w:line="360" w:lineRule="auto"/>
        <w:ind w:left="420" w:firstLine="281" w:firstLineChars="10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3、建筑垃圾监管辅助服务</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协助主管部门对建筑垃圾处置申请进行材料初审，严格按照建筑垃圾处置核准相关规定，核查申报材料的完整性、合规性及真实性，重点核查处置方案、运输路线、消纳场所等核心信息，提供专业技术意见，支持核准流程的顺利推进，防范违规处置风险。</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建立建筑垃圾排放、运输、处置的全过程监管辅助机制，结合合作区建设发展实际，每季度对建筑垃圾源头管控、运输车辆密闭情况、消纳场接收记录等开展现场核查，重点排查违规排放、沿途遗撒、乱堆乱倒等问题，确保各环节符合相关规定，助力构建“源头管控-过程监管-末端处置”的闭环管理体系。</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3）建立并动态维护建筑垃圾管理台账，详细记录核准量、实际运输量、处置去向、运输车辆信息、消纳场接收情况等数据，确保台账信息真实、准确、完整。定期分析数据异常情况，排查监管薄弱环节，形成监管分析报告，为执法部门开展执法工作提供精准线索支持，提升建筑垃圾监管效能。</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4）按季度形成建筑垃圾处置核准相关分析报告，全面汇总本季度建筑垃圾处置核准数据、现场核实情况、违规情况等核心信息，重点分析核准数据变化趋势、现场核实中发现的共性问题、违规行为的类型及高发环节，结合合作区建设实际提出针对性改进建议，为优化建筑垃圾监管管理策略、强化监管措施提供数据支撑和决策参考。</w:t>
      </w:r>
    </w:p>
    <w:p>
      <w:pPr>
        <w:pStyle w:val="10"/>
        <w:kinsoku/>
        <w:spacing w:line="360" w:lineRule="auto"/>
        <w:ind w:left="420"/>
        <w:rPr>
          <w:rFonts w:eastAsia="仿宋_GB2312" w:cs="仿宋_GB2312"/>
          <w:b/>
          <w:bCs/>
          <w:sz w:val="28"/>
          <w:szCs w:val="28"/>
          <w:highlight w:val="none"/>
          <w:lang w:eastAsia="zh-CN"/>
        </w:rPr>
      </w:pPr>
      <w:r>
        <w:rPr>
          <w:rFonts w:hint="eastAsia" w:eastAsia="仿宋_GB2312" w:cs="仿宋_GB2312"/>
          <w:b/>
          <w:bCs/>
          <w:sz w:val="28"/>
          <w:szCs w:val="28"/>
          <w:highlight w:val="none"/>
          <w:lang w:eastAsia="zh-CN"/>
        </w:rPr>
        <w:t>4、提质增效服务</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（1）项目组需安排2名现场常驻人员，负责提供项目管理和垃圾分类管理顾问服务，协调推进各项服务工作，跟踪工作进展，定期向汇报工作情况，确保服务工作有序、高效推进。</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2）提供垃圾分类培训服务。根据要求，结合合作区不同场景（如社区、公共机构、餐饮单位、企业等）的垃圾分类工作特点，共计开展3场垃圾分类示范创建服务培训，培训前需提供培训课件供采购人审核，培训后提交总结报告并做好培训过程影像等资料记录，提升相关人员垃圾分类专业能力和实操水平。</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3）提供垃圾分类满意度调查服务。结合横琴粤澳深度合作区生活垃圾分类工作实际需求，兼顾琴澳两地居民习惯，通过APP、现场问卷调查等多种方式，开展两次（每半年一次）满意度调查工作。每次垃圾分类满意度调查样本量达2000份以上，场景覆盖横琴粤澳深度合作区内8个产生源类型，全面了解居民、单位对垃圾分类工作的满意度及意见建议，形成满意度调查报告，为优化垃圾分类工作提供依据。</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4）环卫行业技术指导。在合同服务期内针对环卫行业，包括但不限于横琴粤澳深度合作区的环卫行业咨询、设计和第三方评估等板块项目提供8次专业的技术指导服务，结合智慧环卫、资源化利用等先进理念，为甲方及相关单位提供技术支持，提升环卫行业管理水平和服务质量。</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5）提供建筑垃圾管理专项培训服务。根据要求，针对不同场景（如施工单位、运输企业、监管人员等），共计开展2场建筑垃圾相关专项培训，重点讲解建筑垃圾处置规范、监管要求、安全管理等内容，培训前提供课件审核，培训后提交总结报告及影像资料，提升相关人员建筑垃圾管理专业能力。</w:t>
      </w:r>
    </w:p>
    <w:p>
      <w:pPr>
        <w:pStyle w:val="10"/>
        <w:kinsoku/>
        <w:spacing w:line="360" w:lineRule="auto"/>
        <w:ind w:left="0" w:leftChars="0" w:firstLine="560" w:firstLineChars="200"/>
        <w:rPr>
          <w:rFonts w:eastAsia="仿宋_GB2312" w:cs="仿宋_GB2312"/>
          <w:sz w:val="28"/>
          <w:szCs w:val="28"/>
          <w:highlight w:val="none"/>
          <w:lang w:eastAsia="zh-CN"/>
        </w:rPr>
      </w:pPr>
      <w:r>
        <w:rPr>
          <w:rFonts w:hint="eastAsia" w:eastAsia="仿宋_GB2312" w:cs="仿宋_GB2312"/>
          <w:sz w:val="28"/>
          <w:szCs w:val="28"/>
          <w:highlight w:val="none"/>
          <w:lang w:eastAsia="zh-CN"/>
        </w:rPr>
        <w:t>（6）结合合作区市容环境管理实际及琴澳融合需求，协助编制规范性文件2本，文件内容围绕生活垃圾分类、市容环卫、建筑垃圾监管等相关领域，结合《横琴粤澳深度合作区环卫工程专项规划（2024-2035年）》《横琴粤澳深度合作区生活垃圾和建筑垃圾投放、收集、运输和处理规范指引》等现有文件，补充完善管理要求，确保文件具有科学性、可操作性和针对性。</w:t>
      </w:r>
    </w:p>
    <w:p>
      <w:pPr>
        <w:kinsoku/>
        <w:spacing w:line="360" w:lineRule="auto"/>
        <w:rPr>
          <w:rFonts w:ascii="Times New Roman" w:hAnsi="Times New Roman" w:eastAsia="仿宋_GB2312" w:cs="仿宋_GB2312"/>
          <w:b/>
          <w:bCs/>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eastAsia="zh-CN"/>
        </w:rPr>
        <w:t>（二）人员要求</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1、结合本项目服务内容要求，驻场人员需具备市容环境管理、垃圾分类、建筑垃圾监管等相关专业背景，熟知行业相关法律法规及技术标准，具备对应的工作经验与专业能力，且至少1名须持有相关专业中级及以上职称或硕士及以上学位；本项目配置的专业技术人员，需覆盖垃圾分类、市容环卫、建筑垃圾管理等领域，可全面满足项目各项专业技术服务需求；所有在岗技术人员的专业领域、职称等级均需与岗位工作内容精准匹配，确保技术人员资质、专业能力符合服务要求。</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2、驻场人员更换需提前7个工作日书面征求采购人同意，新更换人员的专业资质、工作经验不得低于原人员标准，确保服务工作的连续性和专业性。</w:t>
      </w:r>
    </w:p>
    <w:p>
      <w:pPr>
        <w:kinsoku/>
        <w:spacing w:line="360" w:lineRule="auto"/>
        <w:rPr>
          <w:rFonts w:hint="eastAsia" w:ascii="Times New Roman" w:hAnsi="Times New Roman" w:eastAsia="仿宋_GB2312" w:cs="仿宋_GB2312"/>
          <w:b/>
          <w:bCs/>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eastAsia="zh-CN"/>
        </w:rPr>
        <w:t>（三）成果要求</w:t>
      </w:r>
    </w:p>
    <w:p>
      <w:pPr>
        <w:pStyle w:val="2"/>
        <w:spacing w:line="360" w:lineRule="auto"/>
        <w:ind w:left="0" w:firstLine="560" w:firstLineChars="200"/>
        <w:rPr>
          <w:sz w:val="28"/>
          <w:szCs w:val="28"/>
          <w:highlight w:val="none"/>
          <w:lang w:eastAsia="zh-CN"/>
        </w:rPr>
      </w:pPr>
      <w:bookmarkStart w:id="2" w:name="_GoBack"/>
      <w:r>
        <w:rPr>
          <w:rFonts w:hint="eastAsia"/>
          <w:sz w:val="28"/>
          <w:szCs w:val="28"/>
          <w:highlight w:val="none"/>
          <w:lang w:eastAsia="zh-CN"/>
        </w:rPr>
        <w:t>本项目实施过程中形成的全部主要技术成果文件须实行多级审核机制，成果经编制、校核、业务负责人审核后，提交项目负责人全面复核。项目负责人逐项核查成果真实完整、数据准确、合规可行且契合招标及合同要求，审核无误后签字确认并加盖相关审核标识；未经项目负责人审核确认的任何技术成果一律不得对外报送、提交甲方或用于项目阶段性汇报、成果验收等相关工作。</w:t>
      </w:r>
    </w:p>
    <w:bookmarkEnd w:id="2"/>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1、生活垃圾分类工作评估成果</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1）评估报告类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每两个月：《生活垃圾分类第三方考核评估报告》（共6份），包含考核情况、问题分析、提升建议。</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年度末：《生活垃圾分类年度总结分析报告》（1份），含全年梳理、亮点及改进方案。</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2）整改复核类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“回头看”后10天内：《整改优化报告》、《整改建议及示范点位推荐表》（各2份）。</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3）技术咨询与顾问类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示范创建标准建议稿：关于《横琴粤澳深度合作区垃圾分类示范创建检查标准》的建设性意见。</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月度管理顾问简报：收集整理并经适配性分析的先进垃圾分类经验汇报材料。</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2、市容环卫工作检查成果</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1）计划与办法类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《合作区市容环卫管养现状梳理》。</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优化后的《月度检查工作计划》《项目检查办法及评分细则（建议稿）》。</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2）报告类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每月：《市容环卫检查报告》（1份），作为考核与费用支付依据。</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每季度：《市容环卫管养检查工作阶段性报告》（共4份）。</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年度末：《市容环卫管养年度总结报告》（1份），提供下一年度工作计划支撑。</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3）日常与过程类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定期：完整规范的《市容环卫巡查工作台账》。</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审核反馈类：对管养单位月/年度工作计划的《合理化建议书》。</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4）制度修订类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年度：《横琴粤澳深度合作区市容环境管养考核标准（修订版）》（1次/年）及修订建议方案。</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3、建筑垃圾监管辅助服务成果</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1）审核与监管类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每季度《建筑垃圾现场核查记录》及全过程监管辅助机制运行报告。</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2）数据与分析类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动态维护：建筑垃圾管理台账（含核准量、运输量、去向等核心数据）。</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每季度：《建筑垃圾处置核准分析报告》（共4份），含数据趋势、问题分析及改进建议。</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定期《监管分析报告》，为执法提供精准线索。</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4、提质增效专项服务成果</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1）人员与培训类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常驻人员：项目管理及垃圾分类管理顾问服务（含定期工作汇报）。</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垃圾分类培训：3场培训的《培训课件》《培训总结报告》及影像资料。</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建筑垃圾专项培训：2场培训的《培训课件》、《培训总结报告》及影像资料。</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2）调查与技术类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每半年：《生活垃圾分类满意度调查报告》（共2份），含2000+样本及8类产生源覆盖情况。</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环卫行业技术指导：8次专业技术指导服务的《技术指导记录/报告》。</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3）规范性文件类</w:t>
      </w:r>
    </w:p>
    <w:p>
      <w:pPr>
        <w:kinsoku/>
        <w:spacing w:line="360" w:lineRule="auto"/>
        <w:ind w:firstLine="560" w:firstLineChars="200"/>
        <w:rPr>
          <w:rFonts w:ascii="Times New Roman" w:hAnsi="Times New Roman" w:eastAsia="仿宋_GB2312" w:cs="仿宋_GB2312"/>
          <w:sz w:val="28"/>
          <w:szCs w:val="28"/>
          <w:highlight w:val="none"/>
          <w:lang w:eastAsia="zh-CN"/>
        </w:rPr>
      </w:pPr>
      <w:r>
        <w:rPr>
          <w:rFonts w:hint="eastAsia" w:ascii="Times New Roman" w:hAnsi="Times New Roman" w:eastAsia="仿宋_GB2312" w:cs="仿宋_GB2312"/>
          <w:sz w:val="28"/>
          <w:szCs w:val="28"/>
          <w:highlight w:val="none"/>
          <w:lang w:eastAsia="zh-CN"/>
        </w:rPr>
        <w:t>合同期内：2本规范性文件，垃圾分类、市容环卫、建筑垃圾相关领域，基于现有规划与指引定稿。</w:t>
      </w:r>
      <w:r>
        <w:rPr>
          <w:rFonts w:hint="eastAsia" w:ascii="Times New Roman" w:hAnsi="Times New Roman" w:eastAsia="仿宋_GB2312" w:cs="仿宋_GB2312"/>
          <w:sz w:val="28"/>
          <w:szCs w:val="28"/>
          <w:highlight w:val="none"/>
          <w:lang w:eastAsia="zh-CN"/>
        </w:rPr>
        <w:br w:type="textWrapping"/>
      </w:r>
    </w:p>
    <w:p>
      <w:pPr>
        <w:kinsoku/>
        <w:spacing w:line="360" w:lineRule="auto"/>
        <w:rPr>
          <w:rFonts w:hint="eastAsia" w:ascii="仿宋_GB2312" w:hAnsi="仿宋_GB2312" w:eastAsia="仿宋_GB2312" w:cs="仿宋_GB2312"/>
          <w:b/>
          <w:bCs/>
          <w:sz w:val="28"/>
          <w:szCs w:val="28"/>
          <w:highlight w:val="none"/>
          <w:lang w:val="zh-CN" w:eastAsia="zh-CN"/>
        </w:rPr>
      </w:pPr>
      <w:r>
        <w:rPr>
          <w:rFonts w:hint="eastAsia" w:ascii="仿宋_GB2312" w:hAnsi="仿宋_GB2312" w:eastAsia="仿宋_GB2312" w:cs="仿宋_GB2312"/>
          <w:b/>
          <w:bCs/>
          <w:sz w:val="28"/>
          <w:szCs w:val="28"/>
          <w:highlight w:val="none"/>
          <w:lang w:eastAsia="zh-CN"/>
        </w:rPr>
        <w:t>五、</w:t>
      </w:r>
      <w:r>
        <w:rPr>
          <w:rFonts w:hint="eastAsia" w:ascii="仿宋_GB2312" w:hAnsi="仿宋_GB2312" w:eastAsia="仿宋_GB2312" w:cs="仿宋_GB2312"/>
          <w:b/>
          <w:bCs/>
          <w:sz w:val="28"/>
          <w:szCs w:val="28"/>
          <w:highlight w:val="none"/>
          <w:lang w:val="zh-CN" w:eastAsia="zh-CN"/>
        </w:rPr>
        <w:t>项目服务周期</w:t>
      </w:r>
    </w:p>
    <w:p>
      <w:pPr>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自合同签订之日起一年。</w:t>
      </w:r>
    </w:p>
    <w:p>
      <w:pPr>
        <w:spacing w:line="360" w:lineRule="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六、投标人资格要求</w:t>
      </w:r>
    </w:p>
    <w:p>
      <w:pPr>
        <w:suppressAutoHyphens/>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投标人须为在中华人民共和国境内注册、持有合法有效的企业法人营业执照（投标文件中提供营业执照复印件加盖公章）。分公司（分支机构）参与投标的，须取得具有法人资格的总公司出具给分公司（分支机构）的授权书，并提供总公司和分公司的营业执照扫描件加盖投标人公章；</w:t>
      </w:r>
    </w:p>
    <w:p>
      <w:pPr>
        <w:suppressAutoHyphens/>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2、投标人具有良好的商业信誉和健全的财务会计制度；</w:t>
      </w:r>
    </w:p>
    <w:p>
      <w:pPr>
        <w:suppressAutoHyphens/>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3、投标人具有履行合同所必需的设备和专业技术能力；</w:t>
      </w:r>
    </w:p>
    <w:p>
      <w:pPr>
        <w:suppressAutoHyphens/>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4、投标人具有依法缴纳税收和社会保障资金的良好记录；</w:t>
      </w:r>
    </w:p>
    <w:p>
      <w:pPr>
        <w:suppressAutoHyphens/>
        <w:spacing w:line="360"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5、投标人参加采购活动前三年内，在经营活动中没有重大违法记录的书面声明。</w:t>
      </w:r>
    </w:p>
    <w:p>
      <w:pPr>
        <w:suppressAutoHyphens/>
        <w:spacing w:line="360" w:lineRule="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七、</w:t>
      </w:r>
      <w:r>
        <w:rPr>
          <w:rFonts w:hint="eastAsia" w:ascii="仿宋_GB2312" w:hAnsi="仿宋_GB2312" w:eastAsia="仿宋_GB2312" w:cs="仿宋_GB2312"/>
          <w:b/>
          <w:bCs/>
          <w:sz w:val="28"/>
          <w:szCs w:val="28"/>
          <w:highlight w:val="none"/>
        </w:rPr>
        <w:t>项目评分标准</w:t>
      </w:r>
    </w:p>
    <w:tbl>
      <w:tblPr>
        <w:tblStyle w:val="11"/>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9"/>
        <w:gridCol w:w="1811"/>
        <w:gridCol w:w="57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评审</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因素</w:t>
            </w:r>
          </w:p>
        </w:tc>
        <w:tc>
          <w:tcPr>
            <w:tcW w:w="4437" w:type="pct"/>
            <w:gridSpan w:val="2"/>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分值</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构成</w:t>
            </w:r>
          </w:p>
        </w:tc>
        <w:tc>
          <w:tcPr>
            <w:tcW w:w="4437" w:type="pct"/>
            <w:gridSpan w:val="2"/>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技术部分5</w:t>
            </w:r>
            <w:r>
              <w:rPr>
                <w:rFonts w:hint="eastAsia" w:ascii="仿宋_GB2312" w:hAnsi="仿宋_GB2312" w:eastAsia="仿宋_GB2312" w:cs="仿宋_GB2312"/>
                <w:b w:val="0"/>
                <w:bCs w:val="0"/>
                <w:snapToGrid/>
                <w:color w:val="auto"/>
                <w:sz w:val="24"/>
                <w:szCs w:val="24"/>
                <w:lang w:eastAsia="zh-CN"/>
              </w:rPr>
              <w:t>0</w:t>
            </w:r>
            <w:r>
              <w:rPr>
                <w:rFonts w:hint="eastAsia" w:ascii="仿宋_GB2312" w:hAnsi="仿宋_GB2312" w:eastAsia="仿宋_GB2312" w:cs="仿宋_GB2312"/>
                <w:b w:val="0"/>
                <w:bCs w:val="0"/>
                <w:snapToGrid/>
                <w:color w:val="auto"/>
                <w:sz w:val="24"/>
                <w:szCs w:val="24"/>
                <w:lang w:eastAsia="zh-Hans"/>
              </w:rPr>
              <w:t>.0分</w:t>
            </w:r>
          </w:p>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商务部分</w:t>
            </w:r>
            <w:r>
              <w:rPr>
                <w:rFonts w:hint="eastAsia" w:ascii="仿宋_GB2312" w:hAnsi="仿宋_GB2312" w:eastAsia="仿宋_GB2312" w:cs="仿宋_GB2312"/>
                <w:b w:val="0"/>
                <w:bCs w:val="0"/>
                <w:snapToGrid/>
                <w:color w:val="auto"/>
                <w:sz w:val="24"/>
                <w:szCs w:val="24"/>
                <w:lang w:eastAsia="zh-CN"/>
              </w:rPr>
              <w:t>40</w:t>
            </w:r>
            <w:r>
              <w:rPr>
                <w:rFonts w:hint="eastAsia" w:ascii="仿宋_GB2312" w:hAnsi="仿宋_GB2312" w:eastAsia="仿宋_GB2312" w:cs="仿宋_GB2312"/>
                <w:b w:val="0"/>
                <w:bCs w:val="0"/>
                <w:snapToGrid/>
                <w:color w:val="auto"/>
                <w:sz w:val="24"/>
                <w:szCs w:val="24"/>
                <w:lang w:eastAsia="zh-Hans"/>
              </w:rPr>
              <w:t>.0分</w:t>
            </w:r>
          </w:p>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报价得分10.0分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restar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技术</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部分</w:t>
            </w: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对本项目的认识和了解程度(10.0分)</w:t>
            </w:r>
          </w:p>
        </w:tc>
        <w:tc>
          <w:tcPr>
            <w:tcW w:w="3374" w:type="pct"/>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根据投标人提供项目总体认识的相关分析方案进行评审（包括但不限于对项目需求及项目工作内容分析、项目整体实施措施等）：评审内容：①项目总体认识透彻、表述清晰；②项目分析科学、合理，准确把握项目需求与相关标准；③目标清晰明确、有针对性；④项目整体实施措施把控到位。优（10分）：评审要求中①-④项内容全部满足；良（</w:t>
            </w:r>
            <w:r>
              <w:rPr>
                <w:rFonts w:hint="eastAsia" w:ascii="仿宋_GB2312" w:hAnsi="仿宋_GB2312" w:eastAsia="仿宋_GB2312" w:cs="仿宋_GB2312"/>
                <w:b w:val="0"/>
                <w:bCs w:val="0"/>
                <w:snapToGrid/>
                <w:color w:val="auto"/>
                <w:sz w:val="24"/>
                <w:szCs w:val="24"/>
                <w:lang w:eastAsia="zh-CN"/>
              </w:rPr>
              <w:t>8</w:t>
            </w:r>
            <w:r>
              <w:rPr>
                <w:rFonts w:hint="eastAsia" w:ascii="仿宋_GB2312" w:hAnsi="仿宋_GB2312" w:eastAsia="仿宋_GB2312" w:cs="仿宋_GB2312"/>
                <w:b w:val="0"/>
                <w:bCs w:val="0"/>
                <w:snapToGrid/>
                <w:color w:val="auto"/>
                <w:sz w:val="24"/>
                <w:szCs w:val="24"/>
                <w:lang w:eastAsia="zh-Hans"/>
              </w:rPr>
              <w:t>分）：评审要求中①-④项内容满足其中3项；中（</w:t>
            </w:r>
            <w:r>
              <w:rPr>
                <w:rFonts w:hint="eastAsia" w:ascii="仿宋_GB2312" w:hAnsi="仿宋_GB2312" w:eastAsia="仿宋_GB2312" w:cs="仿宋_GB2312"/>
                <w:b w:val="0"/>
                <w:bCs w:val="0"/>
                <w:snapToGrid/>
                <w:color w:val="auto"/>
                <w:sz w:val="24"/>
                <w:szCs w:val="24"/>
                <w:lang w:eastAsia="zh-CN"/>
              </w:rPr>
              <w:t>6</w:t>
            </w:r>
            <w:r>
              <w:rPr>
                <w:rFonts w:hint="eastAsia" w:ascii="仿宋_GB2312" w:hAnsi="仿宋_GB2312" w:eastAsia="仿宋_GB2312" w:cs="仿宋_GB2312"/>
                <w:b w:val="0"/>
                <w:bCs w:val="0"/>
                <w:snapToGrid/>
                <w:color w:val="auto"/>
                <w:sz w:val="24"/>
                <w:szCs w:val="24"/>
                <w:lang w:eastAsia="zh-Hans"/>
              </w:rPr>
              <w:t>分）：评审要求中①-④项内容满足其中2项；差（</w:t>
            </w:r>
            <w:r>
              <w:rPr>
                <w:rFonts w:hint="eastAsia" w:ascii="仿宋_GB2312" w:hAnsi="仿宋_GB2312" w:eastAsia="仿宋_GB2312" w:cs="仿宋_GB2312"/>
                <w:b w:val="0"/>
                <w:bCs w:val="0"/>
                <w:snapToGrid/>
                <w:color w:val="auto"/>
                <w:sz w:val="24"/>
                <w:szCs w:val="24"/>
                <w:lang w:eastAsia="zh-CN"/>
              </w:rPr>
              <w:t>4</w:t>
            </w:r>
            <w:r>
              <w:rPr>
                <w:rFonts w:hint="eastAsia" w:ascii="仿宋_GB2312" w:hAnsi="仿宋_GB2312" w:eastAsia="仿宋_GB2312" w:cs="仿宋_GB2312"/>
                <w:b w:val="0"/>
                <w:bCs w:val="0"/>
                <w:snapToGrid/>
                <w:color w:val="auto"/>
                <w:sz w:val="24"/>
                <w:szCs w:val="24"/>
                <w:lang w:eastAsia="zh-Hans"/>
              </w:rPr>
              <w:t>分）：评审要求中①-④项内容满足其中1项。注：未提供则不得分。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项目实施方案(15.0分)</w:t>
            </w:r>
          </w:p>
        </w:tc>
        <w:tc>
          <w:tcPr>
            <w:tcW w:w="3374" w:type="pct"/>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根据投标人提供的服务方案（包括但不限于工作思路、方法、质量保证措施、项目完成时效等）进行评审：评审要求：①工作思路清晰；②质量控制方案完整、详细、切实可行；③有详细的质量保障措施、具备可操作性；④项目各项关键节点工作的完成时间在项目要求范围内等。优（15分）：评审要求中①-④项内容全部满足；良（</w:t>
            </w:r>
            <w:r>
              <w:rPr>
                <w:rFonts w:hint="eastAsia" w:ascii="仿宋_GB2312" w:hAnsi="仿宋_GB2312" w:eastAsia="仿宋_GB2312" w:cs="仿宋_GB2312"/>
                <w:b w:val="0"/>
                <w:bCs w:val="0"/>
                <w:snapToGrid/>
                <w:color w:val="auto"/>
                <w:sz w:val="24"/>
                <w:szCs w:val="24"/>
                <w:lang w:eastAsia="zh-CN"/>
              </w:rPr>
              <w:t>12</w:t>
            </w:r>
            <w:r>
              <w:rPr>
                <w:rFonts w:hint="eastAsia" w:ascii="仿宋_GB2312" w:hAnsi="仿宋_GB2312" w:eastAsia="仿宋_GB2312" w:cs="仿宋_GB2312"/>
                <w:b w:val="0"/>
                <w:bCs w:val="0"/>
                <w:snapToGrid/>
                <w:color w:val="auto"/>
                <w:sz w:val="24"/>
                <w:szCs w:val="24"/>
                <w:lang w:eastAsia="zh-Hans"/>
              </w:rPr>
              <w:t>分）：评审要求中①-④项内容满足其中3项；中（</w:t>
            </w:r>
            <w:r>
              <w:rPr>
                <w:rFonts w:hint="eastAsia" w:ascii="仿宋_GB2312" w:hAnsi="仿宋_GB2312" w:eastAsia="仿宋_GB2312" w:cs="仿宋_GB2312"/>
                <w:b w:val="0"/>
                <w:bCs w:val="0"/>
                <w:snapToGrid/>
                <w:color w:val="auto"/>
                <w:sz w:val="24"/>
                <w:szCs w:val="24"/>
                <w:lang w:eastAsia="zh-CN"/>
              </w:rPr>
              <w:t>9</w:t>
            </w:r>
            <w:r>
              <w:rPr>
                <w:rFonts w:hint="eastAsia" w:ascii="仿宋_GB2312" w:hAnsi="仿宋_GB2312" w:eastAsia="仿宋_GB2312" w:cs="仿宋_GB2312"/>
                <w:b w:val="0"/>
                <w:bCs w:val="0"/>
                <w:snapToGrid/>
                <w:color w:val="auto"/>
                <w:sz w:val="24"/>
                <w:szCs w:val="24"/>
                <w:lang w:eastAsia="zh-Hans"/>
              </w:rPr>
              <w:t>分）：评审要求中①-④项内容满足其中2项；差（</w:t>
            </w:r>
            <w:r>
              <w:rPr>
                <w:rFonts w:hint="eastAsia" w:ascii="仿宋_GB2312" w:hAnsi="仿宋_GB2312" w:eastAsia="仿宋_GB2312" w:cs="仿宋_GB2312"/>
                <w:b w:val="0"/>
                <w:bCs w:val="0"/>
                <w:snapToGrid/>
                <w:color w:val="auto"/>
                <w:sz w:val="24"/>
                <w:szCs w:val="24"/>
                <w:lang w:eastAsia="zh-CN"/>
              </w:rPr>
              <w:t>6</w:t>
            </w:r>
            <w:r>
              <w:rPr>
                <w:rFonts w:hint="eastAsia" w:ascii="仿宋_GB2312" w:hAnsi="仿宋_GB2312" w:eastAsia="仿宋_GB2312" w:cs="仿宋_GB2312"/>
                <w:b w:val="0"/>
                <w:bCs w:val="0"/>
                <w:snapToGrid/>
                <w:color w:val="auto"/>
                <w:sz w:val="24"/>
                <w:szCs w:val="24"/>
                <w:lang w:eastAsia="zh-Hans"/>
              </w:rPr>
              <w:t>分）：评审要求中①-④项内容满足其中1项。注：未提供方案则不得分。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服务质量保障措施</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(1</w:t>
            </w:r>
            <w:r>
              <w:rPr>
                <w:rFonts w:hint="eastAsia" w:ascii="仿宋_GB2312" w:hAnsi="仿宋_GB2312" w:eastAsia="仿宋_GB2312" w:cs="仿宋_GB2312"/>
                <w:b w:val="0"/>
                <w:bCs w:val="0"/>
                <w:snapToGrid/>
                <w:color w:val="auto"/>
                <w:sz w:val="24"/>
                <w:szCs w:val="24"/>
                <w:lang w:eastAsia="zh-CN"/>
              </w:rPr>
              <w:t>5</w:t>
            </w:r>
            <w:r>
              <w:rPr>
                <w:rFonts w:hint="eastAsia" w:ascii="仿宋_GB2312" w:hAnsi="仿宋_GB2312" w:eastAsia="仿宋_GB2312" w:cs="仿宋_GB2312"/>
                <w:b w:val="0"/>
                <w:bCs w:val="0"/>
                <w:snapToGrid/>
                <w:color w:val="auto"/>
                <w:sz w:val="24"/>
                <w:szCs w:val="24"/>
                <w:lang w:eastAsia="zh-Hans"/>
              </w:rPr>
              <w:t>.0分)</w:t>
            </w:r>
          </w:p>
        </w:tc>
        <w:tc>
          <w:tcPr>
            <w:tcW w:w="3374" w:type="pct"/>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根据项目需求所提供的确保质量及结果的保障方案综合评分，包括人员组织保障方案、项目内部管理制度及保密措施、物资资源配置保障等内容：评审要求：①人员组织保障方案完善，契合项目服务质量及结果保障需求；②项目内部管理制度健全，保密措施完备规范；③物资资源配置保障充分，可有效支撑项目实施；④具备合理有效的服务质量反馈与改进机制。优（1</w:t>
            </w:r>
            <w:r>
              <w:rPr>
                <w:rFonts w:hint="eastAsia" w:ascii="仿宋_GB2312" w:hAnsi="仿宋_GB2312" w:eastAsia="仿宋_GB2312" w:cs="仿宋_GB2312"/>
                <w:b w:val="0"/>
                <w:bCs w:val="0"/>
                <w:snapToGrid/>
                <w:color w:val="auto"/>
                <w:sz w:val="24"/>
                <w:szCs w:val="24"/>
                <w:lang w:eastAsia="zh-CN"/>
              </w:rPr>
              <w:t>5</w:t>
            </w:r>
            <w:r>
              <w:rPr>
                <w:rFonts w:hint="eastAsia" w:ascii="仿宋_GB2312" w:hAnsi="仿宋_GB2312" w:eastAsia="仿宋_GB2312" w:cs="仿宋_GB2312"/>
                <w:b w:val="0"/>
                <w:bCs w:val="0"/>
                <w:snapToGrid/>
                <w:color w:val="auto"/>
                <w:sz w:val="24"/>
                <w:szCs w:val="24"/>
                <w:lang w:eastAsia="zh-Hans"/>
              </w:rPr>
              <w:t>分）：评审要求中①-④项内容全部满足；良（</w:t>
            </w:r>
            <w:r>
              <w:rPr>
                <w:rFonts w:hint="eastAsia" w:ascii="仿宋_GB2312" w:hAnsi="仿宋_GB2312" w:eastAsia="仿宋_GB2312" w:cs="仿宋_GB2312"/>
                <w:b w:val="0"/>
                <w:bCs w:val="0"/>
                <w:snapToGrid/>
                <w:color w:val="auto"/>
                <w:sz w:val="24"/>
                <w:szCs w:val="24"/>
                <w:lang w:eastAsia="zh-CN"/>
              </w:rPr>
              <w:t>12</w:t>
            </w:r>
            <w:r>
              <w:rPr>
                <w:rFonts w:hint="eastAsia" w:ascii="仿宋_GB2312" w:hAnsi="仿宋_GB2312" w:eastAsia="仿宋_GB2312" w:cs="仿宋_GB2312"/>
                <w:b w:val="0"/>
                <w:bCs w:val="0"/>
                <w:snapToGrid/>
                <w:color w:val="auto"/>
                <w:sz w:val="24"/>
                <w:szCs w:val="24"/>
                <w:lang w:eastAsia="zh-Hans"/>
              </w:rPr>
              <w:t>分）：评审要求中①-④项内容满足其中3项；中（</w:t>
            </w:r>
            <w:r>
              <w:rPr>
                <w:rFonts w:hint="eastAsia" w:ascii="仿宋_GB2312" w:hAnsi="仿宋_GB2312" w:eastAsia="仿宋_GB2312" w:cs="仿宋_GB2312"/>
                <w:b w:val="0"/>
                <w:bCs w:val="0"/>
                <w:snapToGrid/>
                <w:color w:val="auto"/>
                <w:sz w:val="24"/>
                <w:szCs w:val="24"/>
                <w:lang w:eastAsia="zh-CN"/>
              </w:rPr>
              <w:t>9</w:t>
            </w:r>
            <w:r>
              <w:rPr>
                <w:rFonts w:hint="eastAsia" w:ascii="仿宋_GB2312" w:hAnsi="仿宋_GB2312" w:eastAsia="仿宋_GB2312" w:cs="仿宋_GB2312"/>
                <w:b w:val="0"/>
                <w:bCs w:val="0"/>
                <w:snapToGrid/>
                <w:color w:val="auto"/>
                <w:sz w:val="24"/>
                <w:szCs w:val="24"/>
                <w:lang w:eastAsia="zh-Hans"/>
              </w:rPr>
              <w:t>分）：评审要求中①-④项内容满足其中2项；差（</w:t>
            </w:r>
            <w:r>
              <w:rPr>
                <w:rFonts w:hint="eastAsia" w:ascii="仿宋_GB2312" w:hAnsi="仿宋_GB2312" w:eastAsia="仿宋_GB2312" w:cs="仿宋_GB2312"/>
                <w:b w:val="0"/>
                <w:bCs w:val="0"/>
                <w:snapToGrid/>
                <w:color w:val="auto"/>
                <w:sz w:val="24"/>
                <w:szCs w:val="24"/>
                <w:lang w:eastAsia="zh-CN"/>
              </w:rPr>
              <w:t>6</w:t>
            </w:r>
            <w:r>
              <w:rPr>
                <w:rFonts w:hint="eastAsia" w:ascii="仿宋_GB2312" w:hAnsi="仿宋_GB2312" w:eastAsia="仿宋_GB2312" w:cs="仿宋_GB2312"/>
                <w:b w:val="0"/>
                <w:bCs w:val="0"/>
                <w:snapToGrid/>
                <w:color w:val="auto"/>
                <w:sz w:val="24"/>
                <w:szCs w:val="24"/>
                <w:lang w:eastAsia="zh-Hans"/>
              </w:rPr>
              <w:t>分）：评审要求中①-④项内容满足其中1项。注：未提供则不得分。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培训方案</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w:t>
            </w:r>
            <w:r>
              <w:rPr>
                <w:rFonts w:hint="eastAsia" w:ascii="仿宋_GB2312" w:hAnsi="仿宋_GB2312" w:eastAsia="仿宋_GB2312" w:cs="仿宋_GB2312"/>
                <w:b w:val="0"/>
                <w:bCs w:val="0"/>
                <w:snapToGrid/>
                <w:color w:val="auto"/>
                <w:sz w:val="24"/>
                <w:szCs w:val="24"/>
                <w:lang w:eastAsia="zh-CN"/>
              </w:rPr>
              <w:t>10</w:t>
            </w:r>
            <w:r>
              <w:rPr>
                <w:rFonts w:hint="eastAsia" w:ascii="仿宋_GB2312" w:hAnsi="仿宋_GB2312" w:eastAsia="仿宋_GB2312" w:cs="仿宋_GB2312"/>
                <w:b w:val="0"/>
                <w:bCs w:val="0"/>
                <w:snapToGrid/>
                <w:color w:val="auto"/>
                <w:sz w:val="24"/>
                <w:szCs w:val="24"/>
                <w:lang w:eastAsia="zh-Hans"/>
              </w:rPr>
              <w:t>.0分)</w:t>
            </w:r>
          </w:p>
        </w:tc>
        <w:tc>
          <w:tcPr>
            <w:tcW w:w="3374" w:type="pct"/>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评审要求：①培训方案完整合理，贴合项目服务需求；②培训内容设计科学，具有针对性与实用性；③培训组织安排规范，实施流程清晰可行；④培训效果保障措施完善，能够满足项目管理提升需求。优（</w:t>
            </w:r>
            <w:r>
              <w:rPr>
                <w:rFonts w:hint="eastAsia" w:ascii="仿宋_GB2312" w:hAnsi="仿宋_GB2312" w:eastAsia="仿宋_GB2312" w:cs="仿宋_GB2312"/>
                <w:b w:val="0"/>
                <w:bCs w:val="0"/>
                <w:snapToGrid/>
                <w:color w:val="auto"/>
                <w:sz w:val="24"/>
                <w:szCs w:val="24"/>
                <w:lang w:eastAsia="zh-CN"/>
              </w:rPr>
              <w:t>10</w:t>
            </w:r>
            <w:r>
              <w:rPr>
                <w:rFonts w:hint="eastAsia" w:ascii="仿宋_GB2312" w:hAnsi="仿宋_GB2312" w:eastAsia="仿宋_GB2312" w:cs="仿宋_GB2312"/>
                <w:b w:val="0"/>
                <w:bCs w:val="0"/>
                <w:snapToGrid/>
                <w:color w:val="auto"/>
                <w:sz w:val="24"/>
                <w:szCs w:val="24"/>
                <w:lang w:eastAsia="zh-Hans"/>
              </w:rPr>
              <w:t>分）：评审要求中①-④项内容全部满足；良（</w:t>
            </w:r>
            <w:r>
              <w:rPr>
                <w:rFonts w:hint="eastAsia" w:ascii="仿宋_GB2312" w:hAnsi="仿宋_GB2312" w:eastAsia="仿宋_GB2312" w:cs="仿宋_GB2312"/>
                <w:b w:val="0"/>
                <w:bCs w:val="0"/>
                <w:snapToGrid/>
                <w:color w:val="auto"/>
                <w:sz w:val="24"/>
                <w:szCs w:val="24"/>
                <w:lang w:eastAsia="zh-CN"/>
              </w:rPr>
              <w:t>8</w:t>
            </w:r>
            <w:r>
              <w:rPr>
                <w:rFonts w:hint="eastAsia" w:ascii="仿宋_GB2312" w:hAnsi="仿宋_GB2312" w:eastAsia="仿宋_GB2312" w:cs="仿宋_GB2312"/>
                <w:b w:val="0"/>
                <w:bCs w:val="0"/>
                <w:snapToGrid/>
                <w:color w:val="auto"/>
                <w:sz w:val="24"/>
                <w:szCs w:val="24"/>
                <w:lang w:eastAsia="zh-Hans"/>
              </w:rPr>
              <w:t>分）：评审要求中①-④项内容满足其中3项；中（</w:t>
            </w:r>
            <w:r>
              <w:rPr>
                <w:rFonts w:hint="eastAsia" w:ascii="仿宋_GB2312" w:hAnsi="仿宋_GB2312" w:eastAsia="仿宋_GB2312" w:cs="仿宋_GB2312"/>
                <w:b w:val="0"/>
                <w:bCs w:val="0"/>
                <w:snapToGrid/>
                <w:color w:val="auto"/>
                <w:sz w:val="24"/>
                <w:szCs w:val="24"/>
                <w:lang w:eastAsia="zh-CN"/>
              </w:rPr>
              <w:t>6</w:t>
            </w:r>
            <w:r>
              <w:rPr>
                <w:rFonts w:hint="eastAsia" w:ascii="仿宋_GB2312" w:hAnsi="仿宋_GB2312" w:eastAsia="仿宋_GB2312" w:cs="仿宋_GB2312"/>
                <w:b w:val="0"/>
                <w:bCs w:val="0"/>
                <w:snapToGrid/>
                <w:color w:val="auto"/>
                <w:sz w:val="24"/>
                <w:szCs w:val="24"/>
                <w:lang w:eastAsia="zh-Hans"/>
              </w:rPr>
              <w:t>分）：评审要求中①-④项内容满足其中2项；差（</w:t>
            </w:r>
            <w:r>
              <w:rPr>
                <w:rFonts w:hint="eastAsia" w:ascii="仿宋_GB2312" w:hAnsi="仿宋_GB2312" w:eastAsia="仿宋_GB2312" w:cs="仿宋_GB2312"/>
                <w:b w:val="0"/>
                <w:bCs w:val="0"/>
                <w:snapToGrid/>
                <w:color w:val="auto"/>
                <w:sz w:val="24"/>
                <w:szCs w:val="24"/>
                <w:lang w:eastAsia="zh-CN"/>
              </w:rPr>
              <w:t>4</w:t>
            </w:r>
            <w:r>
              <w:rPr>
                <w:rFonts w:hint="eastAsia" w:ascii="仿宋_GB2312" w:hAnsi="仿宋_GB2312" w:eastAsia="仿宋_GB2312" w:cs="仿宋_GB2312"/>
                <w:b w:val="0"/>
                <w:bCs w:val="0"/>
                <w:snapToGrid/>
                <w:color w:val="auto"/>
                <w:sz w:val="24"/>
                <w:szCs w:val="24"/>
                <w:lang w:eastAsia="zh-Hans"/>
              </w:rPr>
              <w:t>分）：评审要求中①-④项内容满足其中1项。注：未提供则不得分。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restart"/>
            <w:tcBorders>
              <w:top w:val="single" w:color="auto" w:sz="4"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highlight w:val="none"/>
                <w:lang w:eastAsia="zh-CN"/>
              </w:rPr>
            </w:pPr>
            <w:r>
              <w:rPr>
                <w:rFonts w:hint="eastAsia" w:ascii="仿宋_GB2312" w:hAnsi="仿宋_GB2312" w:eastAsia="仿宋_GB2312" w:cs="仿宋_GB2312"/>
                <w:b w:val="0"/>
                <w:bCs w:val="0"/>
                <w:snapToGrid/>
                <w:color w:val="auto"/>
                <w:sz w:val="24"/>
                <w:szCs w:val="24"/>
                <w:highlight w:val="none"/>
                <w:lang w:eastAsia="zh-Hans"/>
              </w:rPr>
              <w:t>商务</w:t>
            </w:r>
          </w:p>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部分</w:t>
            </w:r>
          </w:p>
        </w:tc>
        <w:tc>
          <w:tcPr>
            <w:tcW w:w="1063" w:type="pct"/>
            <w:tcBorders>
              <w:top w:val="single" w:color="auto" w:sz="4"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同类业绩</w:t>
            </w:r>
          </w:p>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w:t>
            </w:r>
            <w:r>
              <w:rPr>
                <w:rFonts w:hint="eastAsia" w:ascii="仿宋_GB2312" w:hAnsi="仿宋_GB2312" w:eastAsia="仿宋_GB2312" w:cs="仿宋_GB2312"/>
                <w:b w:val="0"/>
                <w:bCs w:val="0"/>
                <w:snapToGrid/>
                <w:color w:val="auto"/>
                <w:sz w:val="24"/>
                <w:szCs w:val="24"/>
                <w:highlight w:val="none"/>
                <w:lang w:eastAsia="zh-CN"/>
              </w:rPr>
              <w:t>22</w:t>
            </w:r>
            <w:r>
              <w:rPr>
                <w:rFonts w:hint="eastAsia" w:ascii="仿宋_GB2312" w:hAnsi="仿宋_GB2312" w:eastAsia="仿宋_GB2312" w:cs="仿宋_GB2312"/>
                <w:b w:val="0"/>
                <w:bCs w:val="0"/>
                <w:snapToGrid/>
                <w:color w:val="auto"/>
                <w:sz w:val="24"/>
                <w:szCs w:val="24"/>
                <w:highlight w:val="none"/>
                <w:lang w:eastAsia="zh-Hans"/>
              </w:rPr>
              <w:t>.0分)</w:t>
            </w:r>
          </w:p>
        </w:tc>
        <w:tc>
          <w:tcPr>
            <w:tcW w:w="3374" w:type="pct"/>
            <w:tcBorders>
              <w:top w:val="single" w:color="auto" w:sz="4"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1.投标人2023年1月1日以来，具有市容环卫技术咨询、检查评估、辅助监管类项目业绩。每提供1份符合要求的有效业绩合同得2分，本项累计最高6分。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2.投标人2023年1月1日以来，具有垃圾分类技术咨询、检查评估、辅助监管类项目业绩。每提供1份符合要求的有效业绩合同得2分，本项累计最高6分。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3.投标人2023年1月1日以来，具有建筑垃圾技术咨询、检查评估、辅助监管类项目业绩。每提供1份符合要求的有效业绩合同得2分，本项累计最高6分。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注：投标文件中须提供服务合同复印件加盖投标人公章，时间以合同所载为准。同一项目（含续签合同）不可重复计分，其他情况或未提供有效证明文件的，均不得分。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4.投标人自2023年1月1日以来参与过市容环卫领域的规范性文件如标准、管理办法、指引等编制并已发布，每提供一个项目成果得2分，最高得4分。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注：提供规范性文件关键页复印件（显示单位名称等关键标识）并发布官网截图或全国标准信息公共服务平台相关页面截图加盖投标人公章，时间以规范性文件发布时间为准。其他情况或未提供有效证明文件的，均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8" w:hRule="atLeast"/>
        </w:trPr>
        <w:tc>
          <w:tcPr>
            <w:tcW w:w="563" w:type="pct"/>
            <w:vMerge w:val="continue"/>
            <w:tcBorders>
              <w:left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项目负责人</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w:t>
            </w:r>
            <w:r>
              <w:rPr>
                <w:rFonts w:hint="eastAsia" w:ascii="仿宋_GB2312" w:hAnsi="仿宋_GB2312" w:eastAsia="仿宋_GB2312" w:cs="仿宋_GB2312"/>
                <w:b w:val="0"/>
                <w:bCs w:val="0"/>
                <w:snapToGrid/>
                <w:color w:val="auto"/>
                <w:sz w:val="24"/>
                <w:szCs w:val="24"/>
                <w:lang w:eastAsia="zh-CN"/>
              </w:rPr>
              <w:t>6</w:t>
            </w:r>
            <w:r>
              <w:rPr>
                <w:rFonts w:hint="eastAsia" w:ascii="仿宋_GB2312" w:hAnsi="仿宋_GB2312" w:eastAsia="仿宋_GB2312" w:cs="仿宋_GB2312"/>
                <w:b w:val="0"/>
                <w:bCs w:val="0"/>
                <w:snapToGrid/>
                <w:color w:val="auto"/>
                <w:sz w:val="24"/>
                <w:szCs w:val="24"/>
                <w:lang w:eastAsia="zh-Hans"/>
              </w:rPr>
              <w:t>分)</w:t>
            </w:r>
          </w:p>
        </w:tc>
        <w:tc>
          <w:tcPr>
            <w:tcW w:w="3374" w:type="pct"/>
            <w:tcBorders>
              <w:top w:val="single" w:color="auto" w:sz="4"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拟投入本项目的项目负责人（仅限1人）：具备环境卫生、市容环卫相关专业正高级技术职称得6分，具备环境卫生、市容环卫相关专业副高级技术职称得4分，具备环境卫生、市容环卫相关专业中级技术职称得2分。</w:t>
            </w:r>
          </w:p>
          <w:p>
            <w:pP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注：投标文件中须提供项目负责人的职称证书复印件，提供投标主体近三个月任意一个月的社保缴纳证明复印件加盖公章。未提供有效证明文件不得分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nil"/>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b w:val="0"/>
                <w:bCs w:val="0"/>
                <w:snapToGrid/>
                <w:color w:val="auto"/>
                <w:sz w:val="24"/>
                <w:szCs w:val="24"/>
                <w:highlight w:val="none"/>
                <w:lang w:eastAsia="zh-Hans"/>
              </w:rPr>
            </w:pPr>
          </w:p>
        </w:tc>
        <w:tc>
          <w:tcPr>
            <w:tcW w:w="1063" w:type="pct"/>
            <w:tcBorders>
              <w:top w:val="single" w:color="auto" w:sz="2"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项目团队</w:t>
            </w:r>
          </w:p>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(1</w:t>
            </w:r>
            <w:r>
              <w:rPr>
                <w:rFonts w:hint="eastAsia" w:ascii="仿宋_GB2312" w:hAnsi="仿宋_GB2312" w:eastAsia="仿宋_GB2312" w:cs="仿宋_GB2312"/>
                <w:b w:val="0"/>
                <w:bCs w:val="0"/>
                <w:snapToGrid/>
                <w:color w:val="auto"/>
                <w:sz w:val="24"/>
                <w:szCs w:val="24"/>
                <w:highlight w:val="none"/>
                <w:lang w:eastAsia="zh-CN"/>
              </w:rPr>
              <w:t>2</w:t>
            </w:r>
            <w:r>
              <w:rPr>
                <w:rFonts w:hint="eastAsia" w:ascii="仿宋_GB2312" w:hAnsi="仿宋_GB2312" w:eastAsia="仿宋_GB2312" w:cs="仿宋_GB2312"/>
                <w:b w:val="0"/>
                <w:bCs w:val="0"/>
                <w:snapToGrid/>
                <w:color w:val="auto"/>
                <w:sz w:val="24"/>
                <w:szCs w:val="24"/>
                <w:highlight w:val="none"/>
                <w:lang w:eastAsia="zh-Hans"/>
              </w:rPr>
              <w:t>.0分)</w:t>
            </w:r>
          </w:p>
        </w:tc>
        <w:tc>
          <w:tcPr>
            <w:tcW w:w="3374" w:type="pct"/>
            <w:tcBorders>
              <w:top w:val="single" w:color="auto" w:sz="2"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拟投入的本项目人员（除项目负责人）：</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具备环境卫生、市容环卫相关专业中级及以上技术职称的，有1人得2分，本项最高得12分。</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注：投标文件中须提供项目团队人员的职称证书复印件，提供投标主体近三个月任意一个月的社保缴纳证明复印件加盖公章。未提供有效证明文件不得分；1人只计分1次，不重复计分。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tcBorders>
              <w:top w:val="single" w:color="auto" w:sz="2"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投标</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报价</w:t>
            </w:r>
          </w:p>
        </w:tc>
        <w:tc>
          <w:tcPr>
            <w:tcW w:w="1063" w:type="pct"/>
            <w:tcBorders>
              <w:top w:val="single" w:color="auto" w:sz="2"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投标报价得分(10.0分)</w:t>
            </w:r>
          </w:p>
        </w:tc>
        <w:tc>
          <w:tcPr>
            <w:tcW w:w="3374" w:type="pct"/>
            <w:tcBorders>
              <w:top w:val="single" w:color="auto" w:sz="2"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投标报价得分＝（评标基准价/投标报价）×价格分值（分数出现小数点，保留小数点后2位，从小数点后第</w:t>
            </w:r>
            <w:r>
              <w:rPr>
                <w:rFonts w:hint="eastAsia" w:ascii="仿宋_GB2312" w:hAnsi="仿宋_GB2312" w:eastAsia="仿宋_GB2312" w:cs="仿宋_GB2312"/>
                <w:b w:val="0"/>
                <w:bCs w:val="0"/>
                <w:snapToGrid/>
                <w:color w:val="auto"/>
                <w:sz w:val="24"/>
                <w:szCs w:val="24"/>
                <w:lang w:eastAsia="zh-CN"/>
              </w:rPr>
              <w:t>3位四舍五入</w:t>
            </w:r>
            <w:r>
              <w:rPr>
                <w:rFonts w:hint="eastAsia" w:ascii="仿宋_GB2312" w:hAnsi="仿宋_GB2312" w:eastAsia="仿宋_GB2312" w:cs="仿宋_GB2312"/>
                <w:b w:val="0"/>
                <w:bCs w:val="0"/>
                <w:snapToGrid/>
                <w:color w:val="auto"/>
                <w:sz w:val="24"/>
                <w:szCs w:val="24"/>
                <w:lang w:eastAsia="zh-Hans"/>
              </w:rPr>
              <w:t>）</w:t>
            </w:r>
          </w:p>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【注：评标基准价：满足采购需求要求且投标价格最低的投标报价为评标基准价。】最低报价不是中标的唯一依据。因落实采购政策进行价格调整的，以调整后的价格计算评标基准价和投标报价。</w:t>
            </w:r>
          </w:p>
        </w:tc>
      </w:tr>
    </w:tbl>
    <w:p>
      <w:pPr>
        <w:pStyle w:val="7"/>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387"/>
                          </w:sdtPr>
                          <w:sdtContent>
                            <w:p>
                              <w:pPr>
                                <w:pStyle w:val="8"/>
                                <w:jc w:val="right"/>
                              </w:pPr>
                              <w:r>
                                <w:fldChar w:fldCharType="begin"/>
                              </w:r>
                              <w:r>
                                <w:instrText xml:space="preserve">PAGE   \* MERGEFORMAT</w:instrText>
                              </w:r>
                              <w:r>
                                <w:fldChar w:fldCharType="separate"/>
                              </w:r>
                              <w:r>
                                <w:rPr>
                                  <w:lang w:val="zh-CN" w:eastAsia="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52387"/>
                    </w:sdtPr>
                    <w:sdtContent>
                      <w:p>
                        <w:pPr>
                          <w:pStyle w:val="8"/>
                          <w:jc w:val="right"/>
                        </w:pPr>
                        <w:r>
                          <w:fldChar w:fldCharType="begin"/>
                        </w:r>
                        <w:r>
                          <w:instrText xml:space="preserve">PAGE   \* MERGEFORMAT</w:instrText>
                        </w:r>
                        <w:r>
                          <w:fldChar w:fldCharType="separate"/>
                        </w:r>
                        <w:r>
                          <w:rPr>
                            <w:lang w:val="zh-CN" w:eastAsia="zh-CN"/>
                          </w:rPr>
                          <w:t>1</w:t>
                        </w:r>
                        <w:r>
                          <w:fldChar w:fldCharType="end"/>
                        </w:r>
                      </w:p>
                    </w:sdtContent>
                  </w:sdt>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614C0"/>
    <w:rsid w:val="000825DF"/>
    <w:rsid w:val="00154310"/>
    <w:rsid w:val="001A3A4C"/>
    <w:rsid w:val="00270292"/>
    <w:rsid w:val="002F78CD"/>
    <w:rsid w:val="004069B2"/>
    <w:rsid w:val="00457D76"/>
    <w:rsid w:val="0046219B"/>
    <w:rsid w:val="005E10BE"/>
    <w:rsid w:val="008402FB"/>
    <w:rsid w:val="00945855"/>
    <w:rsid w:val="00997A26"/>
    <w:rsid w:val="00AA76C4"/>
    <w:rsid w:val="00AD4B20"/>
    <w:rsid w:val="00B31129"/>
    <w:rsid w:val="00C01325"/>
    <w:rsid w:val="00C543F8"/>
    <w:rsid w:val="00D628CB"/>
    <w:rsid w:val="00DA5AB9"/>
    <w:rsid w:val="00DB0484"/>
    <w:rsid w:val="00E968E7"/>
    <w:rsid w:val="00F63BB1"/>
    <w:rsid w:val="00FD3B93"/>
    <w:rsid w:val="02AD0097"/>
    <w:rsid w:val="03CC52FB"/>
    <w:rsid w:val="099F7822"/>
    <w:rsid w:val="09B64EA4"/>
    <w:rsid w:val="09F04D02"/>
    <w:rsid w:val="0EB614C0"/>
    <w:rsid w:val="0F5C0756"/>
    <w:rsid w:val="122330D0"/>
    <w:rsid w:val="1BAD4837"/>
    <w:rsid w:val="1F8714C1"/>
    <w:rsid w:val="206E3A39"/>
    <w:rsid w:val="21FD04DA"/>
    <w:rsid w:val="242A6A0A"/>
    <w:rsid w:val="24FB56B2"/>
    <w:rsid w:val="2A5A549D"/>
    <w:rsid w:val="2DF72EF7"/>
    <w:rsid w:val="2F365E55"/>
    <w:rsid w:val="37552BAC"/>
    <w:rsid w:val="40F95025"/>
    <w:rsid w:val="453D1969"/>
    <w:rsid w:val="513261E2"/>
    <w:rsid w:val="58E919A9"/>
    <w:rsid w:val="5E870428"/>
    <w:rsid w:val="635F334E"/>
    <w:rsid w:val="66285B05"/>
    <w:rsid w:val="67AE52DB"/>
    <w:rsid w:val="6D9A54AD"/>
    <w:rsid w:val="703C3F13"/>
    <w:rsid w:val="7616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16"/>
    <w:qFormat/>
    <w:uiPriority w:val="0"/>
    <w:pPr>
      <w:keepNext/>
      <w:keepLines/>
      <w:spacing w:before="340" w:after="330" w:line="360" w:lineRule="auto"/>
      <w:outlineLvl w:val="0"/>
    </w:pPr>
    <w:rPr>
      <w:rFonts w:eastAsia="黑体"/>
      <w:b/>
      <w:kern w:val="44"/>
      <w:sz w:val="36"/>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overflowPunct w:val="0"/>
      <w:ind w:firstLine="600" w:firstLineChars="200"/>
    </w:pPr>
    <w:rPr>
      <w:rFonts w:ascii="仿宋" w:hAnsi="仿宋" w:eastAsia="仿宋_GB2312" w:cs="仿宋"/>
    </w:rPr>
  </w:style>
  <w:style w:type="paragraph" w:styleId="3">
    <w:name w:val="Body Text Indent"/>
    <w:basedOn w:val="1"/>
    <w:qFormat/>
    <w:uiPriority w:val="99"/>
    <w:pPr>
      <w:ind w:left="1260"/>
    </w:pPr>
  </w:style>
  <w:style w:type="paragraph" w:styleId="6">
    <w:name w:val="annotation text"/>
    <w:basedOn w:val="1"/>
    <w:qFormat/>
    <w:uiPriority w:val="0"/>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2"/>
    <w:basedOn w:val="1"/>
    <w:next w:val="1"/>
    <w:qFormat/>
    <w:uiPriority w:val="0"/>
    <w:pPr>
      <w:ind w:left="200" w:leftChars="200"/>
    </w:pPr>
    <w:rPr>
      <w:rFonts w:ascii="Times New Roman" w:hAnsi="Times New Roman"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大标题"/>
    <w:basedOn w:val="1"/>
    <w:next w:val="1"/>
    <w:qFormat/>
    <w:uiPriority w:val="0"/>
    <w:pPr>
      <w:overflowPunct w:val="0"/>
      <w:spacing w:before="280" w:after="290"/>
      <w:jc w:val="center"/>
      <w:outlineLvl w:val="3"/>
    </w:pPr>
    <w:rPr>
      <w:rFonts w:hint="eastAsia" w:ascii="方正小标宋简体" w:hAnsi="方正小标宋简体" w:eastAsia="方正小标宋简体" w:cs="方正小标宋简体"/>
      <w:bCs/>
      <w:sz w:val="44"/>
      <w:szCs w:val="28"/>
    </w:rPr>
  </w:style>
  <w:style w:type="character" w:customStyle="1" w:styleId="16">
    <w:name w:val="标题 1 字符"/>
    <w:link w:val="4"/>
    <w:qFormat/>
    <w:uiPriority w:val="0"/>
    <w:rPr>
      <w:rFonts w:ascii="Arial" w:hAnsi="Arial" w:eastAsia="黑体"/>
      <w:b/>
      <w:kern w:val="44"/>
      <w:sz w:val="36"/>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16</Pages>
  <Words>3632</Words>
  <Characters>3706</Characters>
  <Lines>185</Lines>
  <Paragraphs>133</Paragraphs>
  <TotalTime>34</TotalTime>
  <ScaleCrop>false</ScaleCrop>
  <LinksUpToDate>false</LinksUpToDate>
  <CharactersWithSpaces>7205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2026-05-27T03:35:00Z</dcterms:created>
  <dc:creator>轰轰轰</dc:creator>
  <cp:lastModifiedBy>轰轰轰</cp:lastModifiedBy>
  <cp:lastPrinted>2026-06-17T01:31:12Z</cp:lastPrinted>
  <dcterms:modified xsi:type="dcterms:W3CDTF">2026-06-17T01:33:08Z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CD3D3E76B3784D1EA90ED3F088F34E63</vt:lpwstr>
  </property>
</Properties>
</file>