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360" w:lineRule="auto"/>
        <w:rPr>
          <w:rFonts w:hint="eastAsia" w:ascii="仿宋_GB2312" w:hAnsi="仿宋_GB2312" w:eastAsia="仿宋_GB2312" w:cs="仿宋_GB2312"/>
          <w:b/>
          <w:bCs/>
          <w:sz w:val="28"/>
          <w:szCs w:val="28"/>
          <w:highlight w:val="none"/>
          <w:lang w:eastAsia="zh-CN"/>
        </w:rPr>
      </w:pPr>
      <w:bookmarkStart w:id="0" w:name="_GoBack"/>
      <w:bookmarkEnd w:id="0"/>
      <w:r>
        <w:rPr>
          <w:rFonts w:hint="eastAsia" w:ascii="仿宋_GB2312" w:hAnsi="仿宋_GB2312" w:eastAsia="仿宋_GB2312" w:cs="仿宋_GB2312"/>
          <w:b/>
          <w:bCs/>
          <w:sz w:val="28"/>
          <w:szCs w:val="28"/>
          <w:highlight w:val="none"/>
          <w:lang w:eastAsia="zh-CN"/>
        </w:rPr>
        <w:t>附件</w:t>
      </w: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项目评分标准</w:t>
      </w:r>
    </w:p>
    <w:tbl>
      <w:tblPr>
        <w:tblStyle w:val="11"/>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9"/>
        <w:gridCol w:w="1811"/>
        <w:gridCol w:w="57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评审</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因素</w:t>
            </w:r>
          </w:p>
        </w:tc>
        <w:tc>
          <w:tcPr>
            <w:tcW w:w="4437" w:type="pct"/>
            <w:gridSpan w:val="2"/>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评审标准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分值</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构成</w:t>
            </w:r>
          </w:p>
        </w:tc>
        <w:tc>
          <w:tcPr>
            <w:tcW w:w="4437" w:type="pct"/>
            <w:gridSpan w:val="2"/>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技术部分5</w:t>
            </w:r>
            <w:r>
              <w:rPr>
                <w:rFonts w:hint="eastAsia" w:ascii="仿宋_GB2312" w:hAnsi="仿宋_GB2312" w:eastAsia="仿宋_GB2312" w:cs="仿宋_GB2312"/>
                <w:b w:val="0"/>
                <w:bCs w:val="0"/>
                <w:snapToGrid/>
                <w:color w:val="auto"/>
                <w:sz w:val="24"/>
                <w:szCs w:val="24"/>
                <w:lang w:eastAsia="zh-CN"/>
              </w:rPr>
              <w:t>0</w:t>
            </w:r>
            <w:r>
              <w:rPr>
                <w:rFonts w:hint="eastAsia" w:ascii="仿宋_GB2312" w:hAnsi="仿宋_GB2312" w:eastAsia="仿宋_GB2312" w:cs="仿宋_GB2312"/>
                <w:b w:val="0"/>
                <w:bCs w:val="0"/>
                <w:snapToGrid/>
                <w:color w:val="auto"/>
                <w:sz w:val="24"/>
                <w:szCs w:val="24"/>
                <w:lang w:eastAsia="zh-Hans"/>
              </w:rPr>
              <w:t>.0分</w:t>
            </w:r>
          </w:p>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商务部分</w:t>
            </w:r>
            <w:r>
              <w:rPr>
                <w:rFonts w:hint="eastAsia" w:ascii="仿宋_GB2312" w:hAnsi="仿宋_GB2312" w:eastAsia="仿宋_GB2312" w:cs="仿宋_GB2312"/>
                <w:b w:val="0"/>
                <w:bCs w:val="0"/>
                <w:snapToGrid/>
                <w:color w:val="auto"/>
                <w:sz w:val="24"/>
                <w:szCs w:val="24"/>
                <w:lang w:eastAsia="zh-CN"/>
              </w:rPr>
              <w:t>40</w:t>
            </w:r>
            <w:r>
              <w:rPr>
                <w:rFonts w:hint="eastAsia" w:ascii="仿宋_GB2312" w:hAnsi="仿宋_GB2312" w:eastAsia="仿宋_GB2312" w:cs="仿宋_GB2312"/>
                <w:b w:val="0"/>
                <w:bCs w:val="0"/>
                <w:snapToGrid/>
                <w:color w:val="auto"/>
                <w:sz w:val="24"/>
                <w:szCs w:val="24"/>
                <w:lang w:eastAsia="zh-Hans"/>
              </w:rPr>
              <w:t>.0分</w:t>
            </w:r>
          </w:p>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报价得分10.0分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restar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技术</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部分</w:t>
            </w: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对本项目的认识和了解程度(10.0分)</w:t>
            </w:r>
          </w:p>
        </w:tc>
        <w:tc>
          <w:tcPr>
            <w:tcW w:w="5750"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根据投标人提供项目总体认识的相关分析方案进行评审（包括但不限于</w:t>
            </w:r>
            <w:r>
              <w:rPr>
                <w:rFonts w:ascii="仿宋_GB2312" w:hAnsi="仿宋_GB2312" w:eastAsia="仿宋_GB2312" w:cs="仿宋_GB2312"/>
                <w:snapToGrid/>
                <w:color w:val="auto"/>
                <w:sz w:val="24"/>
                <w:szCs w:val="24"/>
                <w:highlight w:val="none"/>
                <w:lang w:eastAsia="zh-Hans"/>
              </w:rPr>
              <w:t>①项目需求及工作内容分析、②</w:t>
            </w:r>
            <w:r>
              <w:rPr>
                <w:rFonts w:hint="eastAsia" w:ascii="仿宋_GB2312" w:hAnsi="仿宋_GB2312" w:eastAsia="仿宋_GB2312" w:cs="仿宋_GB2312"/>
                <w:snapToGrid/>
                <w:color w:val="auto"/>
                <w:sz w:val="24"/>
                <w:szCs w:val="24"/>
                <w:highlight w:val="none"/>
                <w:lang w:eastAsia="zh-Hans"/>
              </w:rPr>
              <w:t>项目整体实施措施、</w:t>
            </w:r>
            <w:r>
              <w:rPr>
                <w:rFonts w:ascii="仿宋_GB2312" w:hAnsi="仿宋_GB2312" w:eastAsia="仿宋_GB2312" w:cs="仿宋_GB2312"/>
                <w:snapToGrid/>
                <w:color w:val="auto"/>
                <w:sz w:val="24"/>
                <w:szCs w:val="24"/>
                <w:highlight w:val="none"/>
                <w:lang w:eastAsia="zh-Hans"/>
              </w:rPr>
              <w:t>③重难点研判及应对思路、④</w:t>
            </w:r>
            <w:r>
              <w:rPr>
                <w:rFonts w:hint="eastAsia" w:ascii="仿宋_GB2312" w:hAnsi="仿宋_GB2312" w:eastAsia="仿宋_GB2312" w:cs="仿宋_GB2312"/>
                <w:snapToGrid/>
                <w:color w:val="auto"/>
                <w:sz w:val="24"/>
                <w:szCs w:val="24"/>
                <w:highlight w:val="none"/>
                <w:lang w:eastAsia="zh-Hans"/>
              </w:rPr>
              <w:t>服务质量保障措施等）。</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（10分）：</w:t>
            </w:r>
            <w:r>
              <w:rPr>
                <w:rFonts w:ascii="仿宋_GB2312" w:hAnsi="仿宋_GB2312" w:eastAsia="仿宋_GB2312" w:cs="仿宋_GB2312"/>
                <w:snapToGrid/>
                <w:color w:val="auto"/>
                <w:sz w:val="24"/>
                <w:szCs w:val="24"/>
                <w:highlight w:val="none"/>
                <w:lang w:eastAsia="zh-Hans"/>
              </w:rPr>
              <w:t>项目方案包含以上①-④项全部内容，内容详尽细化，总体认识透彻、表述清晰；项目分析科学合理，准确把握市容环卫、垃圾分类、建筑垃圾管理相关政策标准与核心需求；目标清晰可量化、针对性强；重难点研判全面深入、应对思路可行；实施管控框架周全完善，各项内容完全满足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val="en-US" w:eastAsia="zh-CN"/>
              </w:rPr>
              <w:t>7</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项目方案包含①-④项全部内容，内容较为详实，整体认知到位、表述通顺；项目分析基本科学合理，能够把握项目需求与相关标准；目标较为明确，对重难点有相应研判、应对思路基本可行；实施管控框架较为完善，各项内容满足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val="en-US" w:eastAsia="zh-CN"/>
              </w:rPr>
              <w:t>4</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项目方案包含①-④项主要内容，内容完整性一般，整体认知尚可、表述基本清楚；项目分析有一定依据，基本了解项目需求与相关标准；目标基本清晰，仅对主要重难点做简单分析；实施管控框架内容简略，基本符合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val="en-US" w:eastAsia="zh-CN"/>
              </w:rPr>
              <w:t>1</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项目方案缺失①-④项部分内容，内容简略粗糙，整体认知不足、表述条理欠佳；项目分析不够严谨，未能准确把握项目需求及相关标准；目标模糊，未有效研判重难点、无可行应对思路；实施管控措施不完善，部分内容无法满足采购需求。</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注：未提供则不得分。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项目实施方案(15.0分)</w:t>
            </w:r>
          </w:p>
        </w:tc>
        <w:tc>
          <w:tcPr>
            <w:tcW w:w="5750" w:type="dxa"/>
            <w:tcBorders>
              <w:top w:val="single" w:color="auto" w:sz="4" w:space="0"/>
              <w:left w:val="single" w:color="auto" w:sz="4" w:space="0"/>
              <w:bottom w:val="single" w:color="auto" w:sz="4" w:space="0"/>
              <w:right w:val="single" w:color="auto" w:sz="4" w:space="0"/>
            </w:tcBorders>
            <w:vAlign w:val="top"/>
          </w:tcPr>
          <w:p>
            <w:pPr>
              <w:rPr>
                <w:rFonts w:hint="eastAsia" w:ascii="仿宋_GB2312" w:hAnsi="仿宋_GB2312" w:eastAsia="仿宋_GB2312" w:cs="仿宋_GB2312"/>
                <w:snapToGrid/>
                <w:color w:val="auto"/>
                <w:sz w:val="24"/>
                <w:szCs w:val="24"/>
                <w:highlight w:val="none"/>
                <w:lang w:eastAsia="zh-CN"/>
              </w:rPr>
            </w:pPr>
            <w:r>
              <w:rPr>
                <w:rFonts w:hint="eastAsia" w:ascii="仿宋_GB2312" w:hAnsi="仿宋_GB2312" w:eastAsia="仿宋_GB2312" w:cs="仿宋_GB2312"/>
                <w:snapToGrid/>
                <w:color w:val="auto"/>
                <w:sz w:val="24"/>
                <w:szCs w:val="24"/>
                <w:highlight w:val="none"/>
                <w:lang w:eastAsia="zh-Hans"/>
              </w:rPr>
              <w:t>根据投标人提供的服务方案（包括但不限于工</w:t>
            </w:r>
            <w:r>
              <w:rPr>
                <w:rFonts w:ascii="仿宋_GB2312" w:hAnsi="仿宋_GB2312" w:eastAsia="仿宋_GB2312" w:cs="仿宋_GB2312"/>
                <w:snapToGrid/>
                <w:color w:val="auto"/>
                <w:sz w:val="24"/>
                <w:szCs w:val="24"/>
                <w:highlight w:val="none"/>
                <w:lang w:eastAsia="zh-Hans"/>
              </w:rPr>
              <w:t>①工作思路</w:t>
            </w:r>
            <w:r>
              <w:rPr>
                <w:rFonts w:hint="eastAsia" w:ascii="仿宋_GB2312" w:hAnsi="仿宋_GB2312" w:eastAsia="仿宋_GB2312" w:cs="仿宋_GB2312"/>
                <w:snapToGrid/>
                <w:color w:val="auto"/>
                <w:sz w:val="24"/>
                <w:szCs w:val="24"/>
                <w:highlight w:val="none"/>
                <w:lang w:eastAsia="zh-Hans"/>
              </w:rPr>
              <w:t>、方法</w:t>
            </w:r>
            <w:r>
              <w:rPr>
                <w:rFonts w:ascii="仿宋_GB2312" w:hAnsi="仿宋_GB2312" w:eastAsia="仿宋_GB2312" w:cs="仿宋_GB2312"/>
                <w:snapToGrid/>
                <w:color w:val="auto"/>
                <w:sz w:val="24"/>
                <w:szCs w:val="24"/>
                <w:highlight w:val="none"/>
                <w:lang w:eastAsia="zh-Hans"/>
              </w:rPr>
              <w:t>、②</w:t>
            </w:r>
            <w:r>
              <w:rPr>
                <w:rFonts w:hint="eastAsia" w:ascii="仿宋_GB2312" w:hAnsi="仿宋_GB2312" w:eastAsia="仿宋_GB2312" w:cs="仿宋_GB2312"/>
                <w:snapToGrid/>
                <w:color w:val="auto"/>
                <w:sz w:val="24"/>
                <w:szCs w:val="24"/>
                <w:highlight w:val="none"/>
                <w:lang w:eastAsia="zh-Hans"/>
              </w:rPr>
              <w:t>质量控制方案</w:t>
            </w:r>
            <w:r>
              <w:rPr>
                <w:rFonts w:ascii="仿宋_GB2312" w:hAnsi="仿宋_GB2312" w:eastAsia="仿宋_GB2312" w:cs="仿宋_GB2312"/>
                <w:snapToGrid/>
                <w:color w:val="auto"/>
                <w:sz w:val="24"/>
                <w:szCs w:val="24"/>
                <w:highlight w:val="none"/>
                <w:lang w:eastAsia="zh-Hans"/>
              </w:rPr>
              <w:t>、③进度计划与关键节点</w:t>
            </w:r>
            <w:r>
              <w:rPr>
                <w:rFonts w:hint="eastAsia" w:ascii="仿宋_GB2312" w:hAnsi="仿宋_GB2312" w:eastAsia="仿宋_GB2312" w:cs="仿宋_GB2312"/>
                <w:snapToGrid/>
                <w:color w:val="auto"/>
                <w:sz w:val="24"/>
                <w:szCs w:val="24"/>
                <w:highlight w:val="none"/>
                <w:lang w:eastAsia="zh-Hans"/>
              </w:rPr>
              <w:t>等）进行评审</w:t>
            </w:r>
            <w:r>
              <w:rPr>
                <w:rFonts w:hint="eastAsia" w:ascii="仿宋_GB2312" w:hAnsi="仿宋_GB2312" w:eastAsia="仿宋_GB2312" w:cs="仿宋_GB2312"/>
                <w:snapToGrid/>
                <w:color w:val="auto"/>
                <w:sz w:val="24"/>
                <w:szCs w:val="24"/>
                <w:highlight w:val="none"/>
                <w:lang w:eastAsia="zh-CN"/>
              </w:rPr>
              <w:t>。</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（15分）：</w:t>
            </w:r>
            <w:r>
              <w:rPr>
                <w:rFonts w:ascii="仿宋_GB2312" w:hAnsi="仿宋_GB2312" w:eastAsia="仿宋_GB2312" w:cs="仿宋_GB2312"/>
                <w:snapToGrid/>
                <w:color w:val="auto"/>
                <w:sz w:val="24"/>
                <w:szCs w:val="24"/>
                <w:highlight w:val="none"/>
                <w:lang w:eastAsia="zh-Hans"/>
              </w:rPr>
              <w:t>项目方案包含①-③项全部内容，工作思路清晰、技术路线完整闭环，与服务周期完全匹配；质量控制方案完整详细、切实可行，明确各环节校验标准、频次与责任人；进度计划详尽，全部关键节点时限明确且满足采购要求。</w:t>
            </w:r>
          </w:p>
          <w:p>
            <w:pPr>
              <w:rPr>
                <w:rFonts w:hint="eastAsia"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eastAsia="zh-CN"/>
              </w:rPr>
              <w:t>12</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项目方案包含①-③项全部内容，工作思路较为清晰，技术路线完整可行；质量控制方案整体完整、内容详实、基本可行；各关键节点时限符合项目要求</w:t>
            </w:r>
            <w:r>
              <w:rPr>
                <w:rFonts w:hint="eastAsia" w:ascii="仿宋_GB2312" w:hAnsi="仿宋_GB2312" w:eastAsia="仿宋_GB2312" w:cs="仿宋_GB2312"/>
                <w:snapToGrid/>
                <w:color w:val="auto"/>
                <w:sz w:val="24"/>
                <w:szCs w:val="24"/>
                <w:highlight w:val="none"/>
                <w:lang w:eastAsia="zh-Hans"/>
              </w:rPr>
              <w:t>，内容大部分能</w:t>
            </w:r>
            <w:r>
              <w:rPr>
                <w:rFonts w:ascii="仿宋_GB2312" w:hAnsi="仿宋_GB2312" w:eastAsia="仿宋_GB2312" w:cs="仿宋_GB2312"/>
                <w:snapToGrid/>
                <w:color w:val="auto"/>
                <w:sz w:val="24"/>
                <w:szCs w:val="24"/>
                <w:highlight w:val="none"/>
                <w:lang w:eastAsia="zh-Hans"/>
              </w:rPr>
              <w:t>满足采购要求</w:t>
            </w:r>
            <w:r>
              <w:rPr>
                <w:rFonts w:hint="eastAsia" w:ascii="仿宋_GB2312" w:hAnsi="仿宋_GB2312" w:eastAsia="仿宋_GB2312" w:cs="仿宋_GB2312"/>
                <w:snapToGrid/>
                <w:color w:val="auto"/>
                <w:sz w:val="24"/>
                <w:szCs w:val="24"/>
                <w:highlight w:val="none"/>
                <w:lang w:eastAsia="zh-Hans"/>
              </w:rPr>
              <w:t>。</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eastAsia="zh-CN"/>
              </w:rPr>
              <w:t>9</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项目方案包含①-③项主要内容，工作思路基本清楚；质量控制方案基本完整，可行性一般；大部分关键节点完成时间满足项目要求，</w:t>
            </w:r>
            <w:r>
              <w:rPr>
                <w:rFonts w:hint="eastAsia" w:ascii="仿宋_GB2312" w:hAnsi="仿宋_GB2312" w:eastAsia="仿宋_GB2312" w:cs="仿宋_GB2312"/>
                <w:snapToGrid/>
                <w:color w:val="auto"/>
                <w:sz w:val="24"/>
                <w:szCs w:val="24"/>
                <w:highlight w:val="none"/>
                <w:lang w:eastAsia="zh-Hans"/>
              </w:rPr>
              <w:t>内容</w:t>
            </w:r>
            <w:r>
              <w:rPr>
                <w:rFonts w:ascii="仿宋_GB2312" w:hAnsi="仿宋_GB2312" w:eastAsia="仿宋_GB2312" w:cs="仿宋_GB2312"/>
                <w:snapToGrid/>
                <w:color w:val="auto"/>
                <w:sz w:val="24"/>
                <w:szCs w:val="24"/>
                <w:highlight w:val="none"/>
                <w:lang w:eastAsia="zh-Hans"/>
              </w:rPr>
              <w:t>基本符合采购需求。</w:t>
            </w:r>
          </w:p>
          <w:p>
            <w:pPr>
              <w:rPr>
                <w:rFonts w:hint="eastAsia"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eastAsia="zh-CN"/>
              </w:rPr>
              <w:t>6</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项目方案包含①-③项部分内容，工作思路不够清晰；质量控制方案不够完善，可行性较差；大部分关键节点完成时间超出项目要求</w:t>
            </w:r>
            <w:r>
              <w:rPr>
                <w:rFonts w:hint="eastAsia" w:ascii="仿宋_GB2312" w:hAnsi="仿宋_GB2312" w:eastAsia="仿宋_GB2312" w:cs="仿宋_GB2312"/>
                <w:snapToGrid/>
                <w:color w:val="auto"/>
                <w:sz w:val="24"/>
                <w:szCs w:val="24"/>
                <w:highlight w:val="none"/>
                <w:lang w:eastAsia="zh-Hans"/>
              </w:rPr>
              <w:t>，</w:t>
            </w:r>
            <w:r>
              <w:rPr>
                <w:rFonts w:ascii="仿宋_GB2312" w:hAnsi="仿宋_GB2312" w:eastAsia="仿宋_GB2312" w:cs="仿宋_GB2312"/>
                <w:snapToGrid/>
                <w:color w:val="auto"/>
                <w:sz w:val="24"/>
                <w:szCs w:val="24"/>
                <w:highlight w:val="none"/>
                <w:lang w:eastAsia="zh-Hans"/>
              </w:rPr>
              <w:t>部分内容无法满足采购需求</w:t>
            </w:r>
            <w:r>
              <w:rPr>
                <w:rFonts w:hint="eastAsia" w:ascii="仿宋_GB2312" w:hAnsi="仿宋_GB2312" w:eastAsia="仿宋_GB2312" w:cs="仿宋_GB2312"/>
                <w:snapToGrid/>
                <w:color w:val="auto"/>
                <w:sz w:val="24"/>
                <w:szCs w:val="24"/>
                <w:highlight w:val="none"/>
                <w:lang w:eastAsia="zh-Hans"/>
              </w:rPr>
              <w:t>。</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注：未提供方案则不得分。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服务质量保障措施</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(1</w:t>
            </w:r>
            <w:r>
              <w:rPr>
                <w:rFonts w:hint="eastAsia" w:ascii="仿宋_GB2312" w:hAnsi="仿宋_GB2312" w:eastAsia="仿宋_GB2312" w:cs="仿宋_GB2312"/>
                <w:b w:val="0"/>
                <w:bCs w:val="0"/>
                <w:snapToGrid/>
                <w:color w:val="auto"/>
                <w:sz w:val="24"/>
                <w:szCs w:val="24"/>
                <w:lang w:eastAsia="zh-CN"/>
              </w:rPr>
              <w:t>5</w:t>
            </w:r>
            <w:r>
              <w:rPr>
                <w:rFonts w:hint="eastAsia" w:ascii="仿宋_GB2312" w:hAnsi="仿宋_GB2312" w:eastAsia="仿宋_GB2312" w:cs="仿宋_GB2312"/>
                <w:b w:val="0"/>
                <w:bCs w:val="0"/>
                <w:snapToGrid/>
                <w:color w:val="auto"/>
                <w:sz w:val="24"/>
                <w:szCs w:val="24"/>
                <w:lang w:eastAsia="zh-Hans"/>
              </w:rPr>
              <w:t>.0分)</w:t>
            </w:r>
          </w:p>
        </w:tc>
        <w:tc>
          <w:tcPr>
            <w:tcW w:w="5750" w:type="dxa"/>
            <w:tcBorders>
              <w:top w:val="single" w:color="auto" w:sz="4" w:space="0"/>
              <w:left w:val="single" w:color="auto" w:sz="4" w:space="0"/>
              <w:bottom w:val="single" w:color="auto" w:sz="4" w:space="0"/>
              <w:right w:val="single" w:color="auto" w:sz="4" w:space="0"/>
            </w:tcBorders>
            <w:vAlign w:val="top"/>
          </w:tcPr>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根据项目需求所提供的</w:t>
            </w:r>
            <w:r>
              <w:rPr>
                <w:rFonts w:hint="eastAsia" w:ascii="仿宋_GB2312" w:hAnsi="仿宋_GB2312" w:eastAsia="仿宋_GB2312" w:cs="仿宋_GB2312"/>
                <w:snapToGrid/>
                <w:color w:val="auto"/>
                <w:sz w:val="24"/>
                <w:szCs w:val="24"/>
                <w:highlight w:val="none"/>
                <w:lang w:eastAsia="zh-CN"/>
              </w:rPr>
              <w:t>服务质量</w:t>
            </w:r>
            <w:r>
              <w:rPr>
                <w:rFonts w:hint="eastAsia" w:ascii="仿宋_GB2312" w:hAnsi="仿宋_GB2312" w:eastAsia="仿宋_GB2312" w:cs="仿宋_GB2312"/>
                <w:snapToGrid/>
                <w:color w:val="auto"/>
                <w:sz w:val="24"/>
                <w:szCs w:val="24"/>
                <w:highlight w:val="none"/>
                <w:lang w:eastAsia="zh-Hans"/>
              </w:rPr>
              <w:t>保障方案</w:t>
            </w:r>
            <w:r>
              <w:rPr>
                <w:rFonts w:ascii="仿宋_GB2312" w:hAnsi="仿宋_GB2312" w:eastAsia="仿宋_GB2312" w:cs="仿宋_GB2312"/>
                <w:snapToGrid/>
                <w:color w:val="auto"/>
                <w:sz w:val="24"/>
                <w:szCs w:val="24"/>
                <w:highlight w:val="none"/>
                <w:lang w:eastAsia="zh-Hans"/>
              </w:rPr>
              <w:t>（包括但不限于①组织架构与岗位职责、②内部管理制度与保密措施、③物资资源配置、④质量反馈与改进机制）进行评审。</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（1</w:t>
            </w:r>
            <w:r>
              <w:rPr>
                <w:rFonts w:hint="eastAsia" w:ascii="仿宋_GB2312" w:hAnsi="仿宋_GB2312" w:eastAsia="仿宋_GB2312" w:cs="仿宋_GB2312"/>
                <w:snapToGrid/>
                <w:color w:val="auto"/>
                <w:sz w:val="24"/>
                <w:szCs w:val="24"/>
                <w:highlight w:val="none"/>
                <w:lang w:eastAsia="zh-CN"/>
              </w:rPr>
              <w:t>5</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方案包含①-④项全部内容，组织架构清晰、岗位职责分工明确，人员配置与服务规模完全匹配；内部管理制度健全，保密管理细则完备规范；物资设备与技术资源配置充分，可有效支撑全周期实施；质量反馈与改进机制完善、闭环清晰，各项内容</w:t>
            </w:r>
            <w:r>
              <w:rPr>
                <w:rFonts w:hint="eastAsia" w:ascii="仿宋_GB2312" w:hAnsi="仿宋_GB2312" w:eastAsia="仿宋_GB2312" w:cs="仿宋_GB2312"/>
                <w:snapToGrid/>
                <w:color w:val="auto"/>
                <w:sz w:val="24"/>
                <w:szCs w:val="24"/>
                <w:highlight w:val="none"/>
                <w:lang w:eastAsia="zh-Hans"/>
              </w:rPr>
              <w:t>能完全</w:t>
            </w:r>
            <w:r>
              <w:rPr>
                <w:rFonts w:ascii="仿宋_GB2312" w:hAnsi="仿宋_GB2312" w:eastAsia="仿宋_GB2312" w:cs="仿宋_GB2312"/>
                <w:snapToGrid/>
                <w:color w:val="auto"/>
                <w:sz w:val="24"/>
                <w:szCs w:val="24"/>
                <w:highlight w:val="none"/>
                <w:lang w:eastAsia="zh-Hans"/>
              </w:rPr>
              <w:t>满足采购需求。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eastAsia="zh-CN"/>
              </w:rPr>
              <w:t>12</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方案包含①-④项全部内容，组织架构较为清晰，岗位职责基本明确；内部管理制度与保密措施较为齐全；物资资源配置较为充分，可支撑项目实施；质量反馈与改进机制基本完善，具备可操作性，内容</w:t>
            </w:r>
            <w:r>
              <w:rPr>
                <w:rFonts w:hint="eastAsia" w:ascii="仿宋_GB2312" w:hAnsi="仿宋_GB2312" w:eastAsia="仿宋_GB2312" w:cs="仿宋_GB2312"/>
                <w:snapToGrid/>
                <w:color w:val="auto"/>
                <w:sz w:val="24"/>
                <w:szCs w:val="24"/>
                <w:highlight w:val="none"/>
                <w:lang w:eastAsia="zh-Hans"/>
              </w:rPr>
              <w:t>大部分能</w:t>
            </w:r>
            <w:r>
              <w:rPr>
                <w:rFonts w:ascii="仿宋_GB2312" w:hAnsi="仿宋_GB2312" w:eastAsia="仿宋_GB2312" w:cs="仿宋_GB2312"/>
                <w:snapToGrid/>
                <w:color w:val="auto"/>
                <w:sz w:val="24"/>
                <w:szCs w:val="24"/>
                <w:highlight w:val="none"/>
                <w:lang w:eastAsia="zh-Hans"/>
              </w:rPr>
              <w:t>满足采购需求。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eastAsia="zh-CN"/>
              </w:rPr>
              <w:t>9</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方案包含①-④项主要内容，组织架构基本完整，岗位职责大体清晰；内部管理制度与保密措施基本齐全；物资资源配置基本满足项目需求；质量反馈与改进机制初步建立，</w:t>
            </w:r>
            <w:r>
              <w:rPr>
                <w:rFonts w:hint="eastAsia" w:ascii="仿宋_GB2312" w:hAnsi="仿宋_GB2312" w:eastAsia="仿宋_GB2312" w:cs="仿宋_GB2312"/>
                <w:snapToGrid/>
                <w:color w:val="auto"/>
                <w:sz w:val="24"/>
                <w:szCs w:val="24"/>
                <w:highlight w:val="none"/>
                <w:lang w:eastAsia="zh-Hans"/>
              </w:rPr>
              <w:t>内容</w:t>
            </w:r>
            <w:r>
              <w:rPr>
                <w:rFonts w:ascii="仿宋_GB2312" w:hAnsi="仿宋_GB2312" w:eastAsia="仿宋_GB2312" w:cs="仿宋_GB2312"/>
                <w:snapToGrid/>
                <w:color w:val="auto"/>
                <w:sz w:val="24"/>
                <w:szCs w:val="24"/>
                <w:highlight w:val="none"/>
                <w:lang w:eastAsia="zh-Hans"/>
              </w:rPr>
              <w:t>基本符合采购需求。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eastAsia="zh-CN"/>
              </w:rPr>
              <w:t>6</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方案缺失①-④项部分内容，组织架构不清晰，岗位职责模糊；内部管理制度与保密措施简略；物资资源配置不足；缺少有效的质量反馈与改进机制，部分内容无法满足采购需求。</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注：未提供则不得分。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4" w:space="0"/>
              <w:bottom w:val="single" w:color="auto" w:sz="4" w:space="0"/>
              <w:right w:val="single" w:color="auto" w:sz="4"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培训方案</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w:t>
            </w:r>
            <w:r>
              <w:rPr>
                <w:rFonts w:hint="eastAsia" w:ascii="仿宋_GB2312" w:hAnsi="仿宋_GB2312" w:eastAsia="仿宋_GB2312" w:cs="仿宋_GB2312"/>
                <w:b w:val="0"/>
                <w:bCs w:val="0"/>
                <w:snapToGrid/>
                <w:color w:val="auto"/>
                <w:sz w:val="24"/>
                <w:szCs w:val="24"/>
                <w:lang w:eastAsia="zh-CN"/>
              </w:rPr>
              <w:t>10</w:t>
            </w:r>
            <w:r>
              <w:rPr>
                <w:rFonts w:hint="eastAsia" w:ascii="仿宋_GB2312" w:hAnsi="仿宋_GB2312" w:eastAsia="仿宋_GB2312" w:cs="仿宋_GB2312"/>
                <w:b w:val="0"/>
                <w:bCs w:val="0"/>
                <w:snapToGrid/>
                <w:color w:val="auto"/>
                <w:sz w:val="24"/>
                <w:szCs w:val="24"/>
                <w:lang w:eastAsia="zh-Hans"/>
              </w:rPr>
              <w:t>.0分)</w:t>
            </w:r>
          </w:p>
        </w:tc>
        <w:tc>
          <w:tcPr>
            <w:tcW w:w="5750" w:type="dxa"/>
            <w:tcBorders>
              <w:top w:val="single" w:color="auto" w:sz="4" w:space="0"/>
              <w:left w:val="single" w:color="auto" w:sz="4" w:space="0"/>
              <w:bottom w:val="single" w:color="auto" w:sz="4" w:space="0"/>
              <w:right w:val="single" w:color="auto" w:sz="4" w:space="0"/>
            </w:tcBorders>
            <w:vAlign w:val="top"/>
          </w:tcPr>
          <w:p>
            <w:pPr>
              <w:rPr>
                <w:rFonts w:ascii="仿宋_GB2312" w:hAnsi="仿宋_GB2312" w:eastAsia="仿宋_GB2312" w:cs="仿宋_GB2312"/>
                <w:snapToGrid/>
                <w:color w:val="auto"/>
                <w:sz w:val="24"/>
                <w:szCs w:val="24"/>
                <w:highlight w:val="none"/>
                <w:lang w:eastAsia="zh-Hans"/>
              </w:rPr>
            </w:pPr>
            <w:r>
              <w:rPr>
                <w:rFonts w:ascii="仿宋_GB2312" w:hAnsi="仿宋_GB2312" w:eastAsia="仿宋_GB2312" w:cs="仿宋_GB2312"/>
                <w:snapToGrid/>
                <w:color w:val="auto"/>
                <w:sz w:val="24"/>
                <w:szCs w:val="24"/>
                <w:highlight w:val="none"/>
                <w:lang w:eastAsia="zh-Hans"/>
              </w:rPr>
              <w:t>根据投标人结合采购需求提供的培训方案（包括但不限于①培训目标与整体规划、②课程内容设计、③组织实施安排、④效果保障措施）进行评分。</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eastAsia="zh-CN"/>
              </w:rPr>
              <w:t>10</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培训方案包含①-④项全部内容，培训目标清晰明确、知识点和技能点覆盖全面；教学方法具有多样性；师资力量具有丰富教学经验和良好的教学能力；培训内容与需求匹配、可操作性强。各项内容完全满足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val="en-US" w:eastAsia="zh-CN"/>
              </w:rPr>
              <w:t>7</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培训方案包含①-④项全部内容，培训目标较为明确，知识点、技能点覆盖较全；教学方法有一定多样性；师资具备相应教学经验与教学能力；培训内容匹配需求，具备可操作性。各项内容大部分满足采购需求。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val="en-US" w:eastAsia="zh-CN"/>
              </w:rPr>
              <w:t>4</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培训方案涵盖①-④项主要内容，培训目标基本清楚，知识点、技能点覆盖一般；教学方法较为单一；师资教学经验及能力平平；培训内容大体贴合需求，可操作性一般。基本满足采购需求。</w:t>
            </w:r>
          </w:p>
          <w:p>
            <w:pPr>
              <w:rPr>
                <w:rFonts w:ascii="仿宋_GB2312" w:hAnsi="仿宋_GB2312" w:eastAsia="仿宋_GB2312" w:cs="仿宋_GB2312"/>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w:t>
            </w:r>
            <w:r>
              <w:rPr>
                <w:rFonts w:hint="eastAsia" w:ascii="仿宋_GB2312" w:hAnsi="仿宋_GB2312" w:eastAsia="仿宋_GB2312" w:cs="仿宋_GB2312"/>
                <w:snapToGrid/>
                <w:color w:val="auto"/>
                <w:sz w:val="24"/>
                <w:szCs w:val="24"/>
                <w:highlight w:val="none"/>
                <w:lang w:val="en-US" w:eastAsia="zh-CN"/>
              </w:rPr>
              <w:t>1</w:t>
            </w:r>
            <w:r>
              <w:rPr>
                <w:rFonts w:hint="eastAsia" w:ascii="仿宋_GB2312" w:hAnsi="仿宋_GB2312" w:eastAsia="仿宋_GB2312" w:cs="仿宋_GB2312"/>
                <w:snapToGrid/>
                <w:color w:val="auto"/>
                <w:sz w:val="24"/>
                <w:szCs w:val="24"/>
                <w:highlight w:val="none"/>
                <w:lang w:eastAsia="zh-Hans"/>
              </w:rPr>
              <w:t>分）：</w:t>
            </w:r>
            <w:r>
              <w:rPr>
                <w:rFonts w:ascii="仿宋_GB2312" w:hAnsi="仿宋_GB2312" w:eastAsia="仿宋_GB2312" w:cs="仿宋_GB2312"/>
                <w:snapToGrid/>
                <w:color w:val="auto"/>
                <w:sz w:val="24"/>
                <w:szCs w:val="24"/>
                <w:highlight w:val="none"/>
                <w:lang w:eastAsia="zh-Hans"/>
              </w:rPr>
              <w:t>培训方案缺失①-④项部分内容，培训目标模糊，知识点、技能点覆盖不全；教学方法单一；师资教学经验欠缺、能力不足；培训内容与需求偏差较大，可操作性差。无法满足采购需求。</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snapToGrid/>
                <w:color w:val="auto"/>
                <w:sz w:val="24"/>
                <w:szCs w:val="24"/>
                <w:highlight w:val="none"/>
                <w:lang w:eastAsia="zh-Hans"/>
              </w:rPr>
              <w:t>注：未提供则不得分。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restart"/>
            <w:tcBorders>
              <w:top w:val="single" w:color="auto" w:sz="4"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highlight w:val="none"/>
                <w:lang w:eastAsia="zh-CN"/>
              </w:rPr>
            </w:pPr>
            <w:r>
              <w:rPr>
                <w:rFonts w:hint="eastAsia" w:ascii="仿宋_GB2312" w:hAnsi="仿宋_GB2312" w:eastAsia="仿宋_GB2312" w:cs="仿宋_GB2312"/>
                <w:b w:val="0"/>
                <w:bCs w:val="0"/>
                <w:snapToGrid/>
                <w:color w:val="auto"/>
                <w:sz w:val="24"/>
                <w:szCs w:val="24"/>
                <w:highlight w:val="none"/>
                <w:lang w:eastAsia="zh-Hans"/>
              </w:rPr>
              <w:t>商务</w:t>
            </w:r>
          </w:p>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部分</w:t>
            </w:r>
          </w:p>
        </w:tc>
        <w:tc>
          <w:tcPr>
            <w:tcW w:w="1063" w:type="pct"/>
            <w:tcBorders>
              <w:top w:val="single" w:color="auto" w:sz="4"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同类业绩</w:t>
            </w:r>
          </w:p>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w:t>
            </w:r>
            <w:r>
              <w:rPr>
                <w:rFonts w:hint="eastAsia" w:ascii="仿宋_GB2312" w:hAnsi="仿宋_GB2312" w:eastAsia="仿宋_GB2312" w:cs="仿宋_GB2312"/>
                <w:b w:val="0"/>
                <w:bCs w:val="0"/>
                <w:snapToGrid/>
                <w:color w:val="auto"/>
                <w:sz w:val="24"/>
                <w:szCs w:val="24"/>
                <w:highlight w:val="none"/>
                <w:lang w:eastAsia="zh-CN"/>
              </w:rPr>
              <w:t>22</w:t>
            </w:r>
            <w:r>
              <w:rPr>
                <w:rFonts w:hint="eastAsia" w:ascii="仿宋_GB2312" w:hAnsi="仿宋_GB2312" w:eastAsia="仿宋_GB2312" w:cs="仿宋_GB2312"/>
                <w:b w:val="0"/>
                <w:bCs w:val="0"/>
                <w:snapToGrid/>
                <w:color w:val="auto"/>
                <w:sz w:val="24"/>
                <w:szCs w:val="24"/>
                <w:highlight w:val="none"/>
                <w:lang w:eastAsia="zh-Hans"/>
              </w:rPr>
              <w:t>.0分)</w:t>
            </w:r>
          </w:p>
        </w:tc>
        <w:tc>
          <w:tcPr>
            <w:tcW w:w="3374" w:type="pct"/>
            <w:tcBorders>
              <w:top w:val="single" w:color="auto" w:sz="4"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1.投标人2023年1月1日以来，具有市容环卫技术咨询、检查评估、辅助监管类项目业绩。每提供1份符合要求的有效业绩合同得2分，本项累计最高6分。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2.投标人2023年1月1日以来，具有垃圾分类技术咨询、检查评估、辅助监管类项目业绩。每提供1份符合要求的有效业绩合同得2分，本项累计最高6分。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3.投标人2023年1月1日以来，具有建筑垃圾技术咨询、检查评估、辅助监管类项目业绩。每提供1份符合要求的有效业绩合同得2分，本项累计最高6分。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注：投标文件中须提供服务合同复印件加盖投标人公章，时间以合同所载为准。同一项目（含续签合同）不可重复计分，其他情况或未提供有效证明文件的，均不得分。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4.投标人自2023年1月1日以来参与过市容环卫领域的规范性文件如标准、管理办法、指引等编制并已发布，每提供一个项目成果得2分，最高得4分。</w:t>
            </w:r>
          </w:p>
          <w:p>
            <w:pP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注：提供规范性文件关键页复印件（显示单位名称等关键标识）并发布官网截图或全国标准信息公共服务平台相关页面截图加盖投标人公章，时间以规范性文件发布时间为准。其他情况或未提供有效证明文件的，均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8" w:hRule="atLeast"/>
        </w:trPr>
        <w:tc>
          <w:tcPr>
            <w:tcW w:w="563" w:type="pct"/>
            <w:vMerge w:val="continue"/>
            <w:tcBorders>
              <w:left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Hans"/>
              </w:rPr>
            </w:pPr>
          </w:p>
        </w:tc>
        <w:tc>
          <w:tcPr>
            <w:tcW w:w="1063" w:type="pct"/>
            <w:tcBorders>
              <w:top w:val="single" w:color="auto" w:sz="4"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项目负责人</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w:t>
            </w:r>
            <w:r>
              <w:rPr>
                <w:rFonts w:hint="eastAsia" w:ascii="仿宋_GB2312" w:hAnsi="仿宋_GB2312" w:eastAsia="仿宋_GB2312" w:cs="仿宋_GB2312"/>
                <w:b w:val="0"/>
                <w:bCs w:val="0"/>
                <w:snapToGrid/>
                <w:color w:val="auto"/>
                <w:sz w:val="24"/>
                <w:szCs w:val="24"/>
                <w:lang w:eastAsia="zh-CN"/>
              </w:rPr>
              <w:t>6</w:t>
            </w:r>
            <w:r>
              <w:rPr>
                <w:rFonts w:hint="eastAsia" w:ascii="仿宋_GB2312" w:hAnsi="仿宋_GB2312" w:eastAsia="仿宋_GB2312" w:cs="仿宋_GB2312"/>
                <w:b w:val="0"/>
                <w:bCs w:val="0"/>
                <w:snapToGrid/>
                <w:color w:val="auto"/>
                <w:sz w:val="24"/>
                <w:szCs w:val="24"/>
                <w:lang w:eastAsia="zh-Hans"/>
              </w:rPr>
              <w:t>分)</w:t>
            </w:r>
          </w:p>
        </w:tc>
        <w:tc>
          <w:tcPr>
            <w:tcW w:w="3374" w:type="pct"/>
            <w:tcBorders>
              <w:top w:val="single" w:color="auto" w:sz="4"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拟投入本项目的项目负责人（仅限1人）：具备环境卫生、市容环卫相关专业正高级技术职称得6分，具备环境卫生、市容环卫相关专业副高级技术职称得4分，具备环境卫生、市容环卫相关专业中级技术职称得2分。</w:t>
            </w:r>
          </w:p>
          <w:p>
            <w:pP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注：投标文件中须提供项目负责人的职称证书复印件，提供投标主体近三个月任意一个月的社保缴纳证明复印件加盖公章。未提供有效证明文件不得分</w:t>
            </w:r>
            <w:r>
              <w:rPr>
                <w:rFonts w:hint="eastAsia" w:ascii="仿宋_GB2312" w:hAnsi="仿宋_GB2312" w:eastAsia="仿宋_GB2312" w:cs="仿宋_GB2312"/>
                <w:b w:val="0"/>
                <w:bCs w:val="0"/>
                <w:snapToGrid/>
                <w:color w:val="auto"/>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vMerge w:val="continue"/>
            <w:tcBorders>
              <w:top w:val="nil"/>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b w:val="0"/>
                <w:bCs w:val="0"/>
                <w:snapToGrid/>
                <w:color w:val="auto"/>
                <w:sz w:val="24"/>
                <w:szCs w:val="24"/>
                <w:highlight w:val="none"/>
                <w:lang w:eastAsia="zh-Hans"/>
              </w:rPr>
            </w:pPr>
          </w:p>
        </w:tc>
        <w:tc>
          <w:tcPr>
            <w:tcW w:w="1063" w:type="pct"/>
            <w:tcBorders>
              <w:top w:val="single" w:color="auto" w:sz="2"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项目团队</w:t>
            </w:r>
          </w:p>
          <w:p>
            <w:pPr>
              <w:jc w:val="cente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(1</w:t>
            </w:r>
            <w:r>
              <w:rPr>
                <w:rFonts w:hint="eastAsia" w:ascii="仿宋_GB2312" w:hAnsi="仿宋_GB2312" w:eastAsia="仿宋_GB2312" w:cs="仿宋_GB2312"/>
                <w:b w:val="0"/>
                <w:bCs w:val="0"/>
                <w:snapToGrid/>
                <w:color w:val="auto"/>
                <w:sz w:val="24"/>
                <w:szCs w:val="24"/>
                <w:highlight w:val="none"/>
                <w:lang w:eastAsia="zh-CN"/>
              </w:rPr>
              <w:t>2</w:t>
            </w:r>
            <w:r>
              <w:rPr>
                <w:rFonts w:hint="eastAsia" w:ascii="仿宋_GB2312" w:hAnsi="仿宋_GB2312" w:eastAsia="仿宋_GB2312" w:cs="仿宋_GB2312"/>
                <w:b w:val="0"/>
                <w:bCs w:val="0"/>
                <w:snapToGrid/>
                <w:color w:val="auto"/>
                <w:sz w:val="24"/>
                <w:szCs w:val="24"/>
                <w:highlight w:val="none"/>
                <w:lang w:eastAsia="zh-Hans"/>
              </w:rPr>
              <w:t>.0分)</w:t>
            </w:r>
          </w:p>
        </w:tc>
        <w:tc>
          <w:tcPr>
            <w:tcW w:w="3374" w:type="pct"/>
            <w:tcBorders>
              <w:top w:val="single" w:color="auto" w:sz="2"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拟投入的本项目人员（除项目负责人）：</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具备环境卫生、市容环卫相关专业中级及以上技术职称的，有1人得2分，本项最高得12分。</w:t>
            </w:r>
          </w:p>
          <w:p>
            <w:pPr>
              <w:rPr>
                <w:rFonts w:hint="eastAsia" w:ascii="仿宋_GB2312" w:hAnsi="仿宋_GB2312" w:eastAsia="仿宋_GB2312" w:cs="仿宋_GB2312"/>
                <w:b w:val="0"/>
                <w:bCs w:val="0"/>
                <w:snapToGrid/>
                <w:color w:val="auto"/>
                <w:sz w:val="24"/>
                <w:szCs w:val="24"/>
                <w:highlight w:val="none"/>
                <w:lang w:eastAsia="zh-Hans"/>
              </w:rPr>
            </w:pPr>
            <w:r>
              <w:rPr>
                <w:rFonts w:hint="eastAsia" w:ascii="仿宋_GB2312" w:hAnsi="仿宋_GB2312" w:eastAsia="仿宋_GB2312" w:cs="仿宋_GB2312"/>
                <w:b w:val="0"/>
                <w:bCs w:val="0"/>
                <w:snapToGrid/>
                <w:color w:val="auto"/>
                <w:sz w:val="24"/>
                <w:szCs w:val="24"/>
                <w:highlight w:val="none"/>
                <w:lang w:eastAsia="zh-Hans"/>
              </w:rPr>
              <w:t>注：投标文件中须提供项目团队人员的职称证书复印件，提供投标主体近三个月任意一个月的社保缴纳证明复印件加盖公章。未提供有效证明文件不得分；1人只计分1次，不重复计分。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63" w:type="pct"/>
            <w:tcBorders>
              <w:top w:val="single" w:color="auto" w:sz="2"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CN"/>
              </w:rPr>
            </w:pPr>
            <w:r>
              <w:rPr>
                <w:rFonts w:hint="eastAsia" w:ascii="仿宋_GB2312" w:hAnsi="仿宋_GB2312" w:eastAsia="仿宋_GB2312" w:cs="仿宋_GB2312"/>
                <w:b w:val="0"/>
                <w:bCs w:val="0"/>
                <w:snapToGrid/>
                <w:color w:val="auto"/>
                <w:sz w:val="24"/>
                <w:szCs w:val="24"/>
                <w:lang w:eastAsia="zh-Hans"/>
              </w:rPr>
              <w:t>投标</w:t>
            </w:r>
          </w:p>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报价</w:t>
            </w:r>
          </w:p>
        </w:tc>
        <w:tc>
          <w:tcPr>
            <w:tcW w:w="1063" w:type="pct"/>
            <w:tcBorders>
              <w:top w:val="single" w:color="auto" w:sz="2" w:space="0"/>
              <w:left w:val="single" w:color="auto" w:sz="2" w:space="0"/>
              <w:bottom w:val="single" w:color="auto" w:sz="2" w:space="0"/>
              <w:right w:val="single" w:color="auto" w:sz="2" w:space="0"/>
            </w:tcBorders>
          </w:tcPr>
          <w:p>
            <w:pPr>
              <w:jc w:val="cente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投标报价得分(10.0分)</w:t>
            </w:r>
          </w:p>
        </w:tc>
        <w:tc>
          <w:tcPr>
            <w:tcW w:w="3374" w:type="pct"/>
            <w:tcBorders>
              <w:top w:val="single" w:color="auto" w:sz="2" w:space="0"/>
              <w:left w:val="single" w:color="auto" w:sz="2" w:space="0"/>
              <w:bottom w:val="single" w:color="auto" w:sz="2" w:space="0"/>
              <w:right w:val="single" w:color="auto" w:sz="2" w:space="0"/>
            </w:tcBorders>
          </w:tcPr>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投标报价得分＝（评标基准价/投标报价）×价格分值（分数出现小数点，保留小数点后2位，从小数点后第</w:t>
            </w:r>
            <w:r>
              <w:rPr>
                <w:rFonts w:hint="eastAsia" w:ascii="仿宋_GB2312" w:hAnsi="仿宋_GB2312" w:eastAsia="仿宋_GB2312" w:cs="仿宋_GB2312"/>
                <w:b w:val="0"/>
                <w:bCs w:val="0"/>
                <w:snapToGrid/>
                <w:color w:val="auto"/>
                <w:sz w:val="24"/>
                <w:szCs w:val="24"/>
                <w:lang w:eastAsia="zh-CN"/>
              </w:rPr>
              <w:t>3位四舍五入</w:t>
            </w:r>
            <w:r>
              <w:rPr>
                <w:rFonts w:hint="eastAsia" w:ascii="仿宋_GB2312" w:hAnsi="仿宋_GB2312" w:eastAsia="仿宋_GB2312" w:cs="仿宋_GB2312"/>
                <w:b w:val="0"/>
                <w:bCs w:val="0"/>
                <w:snapToGrid/>
                <w:color w:val="auto"/>
                <w:sz w:val="24"/>
                <w:szCs w:val="24"/>
                <w:lang w:eastAsia="zh-Hans"/>
              </w:rPr>
              <w:t>）</w:t>
            </w:r>
          </w:p>
          <w:p>
            <w:pPr>
              <w:rPr>
                <w:rFonts w:hint="eastAsia" w:ascii="仿宋_GB2312" w:hAnsi="仿宋_GB2312" w:eastAsia="仿宋_GB2312" w:cs="仿宋_GB2312"/>
                <w:b w:val="0"/>
                <w:bCs w:val="0"/>
                <w:snapToGrid/>
                <w:color w:val="auto"/>
                <w:sz w:val="24"/>
                <w:szCs w:val="24"/>
                <w:lang w:eastAsia="zh-Hans"/>
              </w:rPr>
            </w:pPr>
            <w:r>
              <w:rPr>
                <w:rFonts w:hint="eastAsia" w:ascii="仿宋_GB2312" w:hAnsi="仿宋_GB2312" w:eastAsia="仿宋_GB2312" w:cs="仿宋_GB2312"/>
                <w:b w:val="0"/>
                <w:bCs w:val="0"/>
                <w:snapToGrid/>
                <w:color w:val="auto"/>
                <w:sz w:val="24"/>
                <w:szCs w:val="24"/>
                <w:lang w:eastAsia="zh-Hans"/>
              </w:rPr>
              <w:t>【注：评标基准价：满足采购需求要求且投标价格最低的投标报价为评标基准价。】最低报价不是中标的唯一依据。因落实采购政策进行价格调整的，以调整后的价格计算评标基准价和投标报价。</w:t>
            </w:r>
          </w:p>
        </w:tc>
      </w:tr>
    </w:tbl>
    <w:p>
      <w:pPr>
        <w:pStyle w:val="7"/>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387"/>
                          </w:sdtPr>
                          <w:sdtContent>
                            <w:p>
                              <w:pPr>
                                <w:pStyle w:val="8"/>
                                <w:jc w:val="right"/>
                              </w:pPr>
                              <w:r>
                                <w:fldChar w:fldCharType="begin"/>
                              </w:r>
                              <w:r>
                                <w:instrText xml:space="preserve">PAGE   \* MERGEFORMAT</w:instrText>
                              </w:r>
                              <w:r>
                                <w:fldChar w:fldCharType="separate"/>
                              </w:r>
                              <w:r>
                                <w:rPr>
                                  <w:lang w:val="zh-CN" w:eastAsia="zh-CN"/>
                                </w:rPr>
                                <w:t>1</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47452387"/>
                    </w:sdtPr>
                    <w:sdtContent>
                      <w:p>
                        <w:pPr>
                          <w:pStyle w:val="8"/>
                          <w:jc w:val="right"/>
                        </w:pPr>
                        <w:r>
                          <w:fldChar w:fldCharType="begin"/>
                        </w:r>
                        <w:r>
                          <w:instrText xml:space="preserve">PAGE   \* MERGEFORMAT</w:instrText>
                        </w:r>
                        <w:r>
                          <w:fldChar w:fldCharType="separate"/>
                        </w:r>
                        <w:r>
                          <w:rPr>
                            <w:lang w:val="zh-CN" w:eastAsia="zh-CN"/>
                          </w:rPr>
                          <w:t>1</w:t>
                        </w:r>
                        <w:r>
                          <w:fldChar w:fldCharType="end"/>
                        </w:r>
                      </w:p>
                    </w:sdtContent>
                  </w:sdt>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614C0"/>
    <w:rsid w:val="000825DF"/>
    <w:rsid w:val="00154310"/>
    <w:rsid w:val="001A3A4C"/>
    <w:rsid w:val="00270292"/>
    <w:rsid w:val="002F78CD"/>
    <w:rsid w:val="004069B2"/>
    <w:rsid w:val="00457D76"/>
    <w:rsid w:val="0046219B"/>
    <w:rsid w:val="005E10BE"/>
    <w:rsid w:val="008402FB"/>
    <w:rsid w:val="00945855"/>
    <w:rsid w:val="00997A26"/>
    <w:rsid w:val="00AA76C4"/>
    <w:rsid w:val="00AD4B20"/>
    <w:rsid w:val="00B31129"/>
    <w:rsid w:val="00C01325"/>
    <w:rsid w:val="00C543F8"/>
    <w:rsid w:val="00D628CB"/>
    <w:rsid w:val="00DA5AB9"/>
    <w:rsid w:val="00DB0484"/>
    <w:rsid w:val="00E968E7"/>
    <w:rsid w:val="00F63BB1"/>
    <w:rsid w:val="00FD3B93"/>
    <w:rsid w:val="03CC52FB"/>
    <w:rsid w:val="099F7822"/>
    <w:rsid w:val="09B64EA4"/>
    <w:rsid w:val="09F04D02"/>
    <w:rsid w:val="0EB614C0"/>
    <w:rsid w:val="0F5C0756"/>
    <w:rsid w:val="1BAD4837"/>
    <w:rsid w:val="1F8714C1"/>
    <w:rsid w:val="206E3A39"/>
    <w:rsid w:val="21ED40A3"/>
    <w:rsid w:val="21FD04DA"/>
    <w:rsid w:val="242A6A0A"/>
    <w:rsid w:val="24FB56B2"/>
    <w:rsid w:val="2A5A549D"/>
    <w:rsid w:val="2F365E55"/>
    <w:rsid w:val="37552BAC"/>
    <w:rsid w:val="3ECB0A84"/>
    <w:rsid w:val="40F95025"/>
    <w:rsid w:val="422D0829"/>
    <w:rsid w:val="453D1969"/>
    <w:rsid w:val="48EC4705"/>
    <w:rsid w:val="513261E2"/>
    <w:rsid w:val="58E919A9"/>
    <w:rsid w:val="5AEE4950"/>
    <w:rsid w:val="5E870428"/>
    <w:rsid w:val="635F334E"/>
    <w:rsid w:val="66285B05"/>
    <w:rsid w:val="67AE52DB"/>
    <w:rsid w:val="6D9A54AD"/>
    <w:rsid w:val="703C3F13"/>
    <w:rsid w:val="7169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link w:val="16"/>
    <w:qFormat/>
    <w:uiPriority w:val="0"/>
    <w:pPr>
      <w:keepNext/>
      <w:keepLines/>
      <w:spacing w:before="340" w:after="330" w:line="360" w:lineRule="auto"/>
      <w:outlineLvl w:val="0"/>
    </w:pPr>
    <w:rPr>
      <w:rFonts w:eastAsia="黑体"/>
      <w:b/>
      <w:kern w:val="44"/>
      <w:sz w:val="36"/>
    </w:rPr>
  </w:style>
  <w:style w:type="paragraph" w:styleId="5">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overflowPunct w:val="0"/>
      <w:ind w:firstLine="600" w:firstLineChars="200"/>
    </w:pPr>
    <w:rPr>
      <w:rFonts w:ascii="仿宋" w:hAnsi="仿宋" w:eastAsia="仿宋_GB2312" w:cs="仿宋"/>
    </w:rPr>
  </w:style>
  <w:style w:type="paragraph" w:styleId="3">
    <w:name w:val="Body Text Indent"/>
    <w:basedOn w:val="1"/>
    <w:qFormat/>
    <w:uiPriority w:val="99"/>
    <w:pPr>
      <w:ind w:left="1260"/>
    </w:pPr>
  </w:style>
  <w:style w:type="paragraph" w:styleId="6">
    <w:name w:val="annotation text"/>
    <w:basedOn w:val="1"/>
    <w:qFormat/>
    <w:uiPriority w:val="0"/>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2"/>
    <w:basedOn w:val="1"/>
    <w:next w:val="1"/>
    <w:qFormat/>
    <w:uiPriority w:val="0"/>
    <w:pPr>
      <w:ind w:left="200" w:leftChars="200"/>
    </w:pPr>
    <w:rPr>
      <w:rFonts w:ascii="Times New Roman" w:hAnsi="Times New Roman" w:eastAsia="宋体" w:cs="Times New Roma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大标题"/>
    <w:basedOn w:val="1"/>
    <w:next w:val="1"/>
    <w:qFormat/>
    <w:uiPriority w:val="0"/>
    <w:pPr>
      <w:overflowPunct w:val="0"/>
      <w:spacing w:before="280" w:after="290"/>
      <w:jc w:val="center"/>
      <w:outlineLvl w:val="3"/>
    </w:pPr>
    <w:rPr>
      <w:rFonts w:hint="eastAsia" w:ascii="方正小标宋简体" w:hAnsi="方正小标宋简体" w:eastAsia="方正小标宋简体" w:cs="方正小标宋简体"/>
      <w:bCs/>
      <w:sz w:val="44"/>
      <w:szCs w:val="28"/>
    </w:rPr>
  </w:style>
  <w:style w:type="character" w:customStyle="1" w:styleId="16">
    <w:name w:val="标题 1 字符"/>
    <w:link w:val="4"/>
    <w:qFormat/>
    <w:uiPriority w:val="0"/>
    <w:rPr>
      <w:rFonts w:ascii="Arial" w:hAnsi="Arial" w:eastAsia="黑体"/>
      <w:b/>
      <w:kern w:val="44"/>
      <w:sz w:val="36"/>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横琴新区</Company>
  <Pages>16</Pages>
  <Words>3632</Words>
  <Characters>3706</Characters>
  <Lines>185</Lines>
  <Paragraphs>133</Paragraphs>
  <TotalTime>7</TotalTime>
  <ScaleCrop>false</ScaleCrop>
  <LinksUpToDate>false</LinksUpToDate>
  <CharactersWithSpaces>7205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2026-05-27T03:35:00Z</dcterms:created>
  <dc:creator>轰轰轰</dc:creator>
  <cp:lastModifiedBy>王韫哲:综合处工作人员</cp:lastModifiedBy>
  <cp:lastPrinted>2026-06-02T09:08:00Z</cp:lastPrinted>
  <dcterms:modified xsi:type="dcterms:W3CDTF">2026-06-23T06:22:45Z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014E28EFD79544AEA94D46409D6AC712</vt:lpwstr>
  </property>
</Properties>
</file>