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宋体"/>
          <w:b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建筑业企业资质动态核查整改材料要求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（一）法人营业执照副本、资质证书；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办公场所证明材料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）企业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注册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执业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名单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、职称人员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名单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技术工人名单。（名单格式参考建筑业企业资质申请表制作）；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注册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执业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人员身份证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、注册证书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）职称人员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身份证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、学历证明、职称证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书及对应的网上查询截图；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zh-CN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技术工人身份证明、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职业培训合格证书或职业技能证书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及相应的网上查询截图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zh-CN" w:eastAsia="zh-CN"/>
        </w:rPr>
        <w:t>）所有人员近一个月社保清单（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人社局打印，同时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zh-CN" w:eastAsia="zh-CN"/>
        </w:rPr>
        <w:t>附公司社保账号及密码）；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1、以上材料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原件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</w:rPr>
        <w:t>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彩色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</w:rPr>
        <w:t>扫描打印件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彩色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并加盖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公章，按顺序用A4纸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</w:rPr>
        <w:t>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成册。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、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</w:rPr>
        <w:t>材料报送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横琴粤澳深度合作区港澳大道868号市民服务中心3号楼2楼138号窗口，建筑市场管理处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，联系电话：07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</w:rPr>
        <w:t>56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8841879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）。</w:t>
      </w:r>
    </w:p>
    <w:p>
      <w:pPr>
        <w:ind w:firstLine="640" w:firstLineChars="200"/>
      </w:pP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复核部门</w:t>
      </w:r>
      <w:r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</w:rPr>
        <w:t>对整改材料存疑的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，</w:t>
      </w:r>
      <w:r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</w:rPr>
        <w:t>企业应当提供相关材料原件和证明材料，必要时需配合部门进行实地核查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</w:rPr>
        <w:t>如存在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虚假材料</w:t>
      </w:r>
      <w:r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</w:rPr>
        <w:t>情况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我局将</w:t>
      </w:r>
      <w:r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照《建筑业企业</w:t>
      </w:r>
      <w:r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</w:rPr>
        <w:t>资质管理规定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严肃处理。</w:t>
      </w:r>
    </w:p>
    <w:sectPr>
      <w:pgSz w:w="11906" w:h="16838"/>
      <w:pgMar w:top="1440" w:right="1440" w:bottom="1440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B220E"/>
    <w:rsid w:val="45BB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2024-06-25T06:01:00Z</dcterms:created>
  <dc:creator>HQ_FWZX</dc:creator>
  <cp:lastModifiedBy>HQ_FWZX</cp:lastModifiedBy>
  <dcterms:modified xsi:type="dcterms:W3CDTF">2024-06-25T06:03:40Z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C4CF435EB89B4010BEF8C5FB29E111DD</vt:lpwstr>
  </property>
</Properties>
</file>