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A187">
      <w:pPr>
        <w:pStyle w:val="2"/>
        <w:numPr>
          <w:ilvl w:val="0"/>
          <w:numId w:val="0"/>
        </w:numPr>
        <w:spacing w:before="100" w:after="0" w:line="360" w:lineRule="auto"/>
        <w:jc w:val="both"/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69" w:name="_GoBack"/>
      <w:bookmarkEnd w:id="69"/>
      <w:bookmarkStart w:id="0" w:name="_Toc28990"/>
      <w:bookmarkStart w:id="1" w:name="_Toc17796"/>
      <w:bookmarkStart w:id="2" w:name="_Toc25943"/>
      <w:bookmarkStart w:id="3" w:name="_Toc22648"/>
      <w:bookmarkStart w:id="4" w:name="_Toc29548"/>
      <w:bookmarkStart w:id="5" w:name="_Toc6736"/>
      <w:bookmarkStart w:id="6" w:name="_Toc13465"/>
      <w:bookmarkStart w:id="7" w:name="_Toc3582"/>
      <w:bookmarkStart w:id="8" w:name="_Toc25031"/>
      <w:bookmarkStart w:id="9" w:name="_Toc3580"/>
      <w:bookmarkStart w:id="10" w:name="_Toc27635"/>
      <w:bookmarkStart w:id="11" w:name="_Toc83237336"/>
      <w:bookmarkStart w:id="12" w:name="_Toc70015595"/>
      <w:bookmarkStart w:id="13" w:name="_Toc10390"/>
      <w:bookmarkStart w:id="14" w:name="_Toc5046"/>
      <w:bookmarkStart w:id="15" w:name="_Toc24533"/>
      <w:bookmarkStart w:id="16" w:name="_Toc4342"/>
      <w:bookmarkStart w:id="17" w:name="_Toc8800"/>
      <w:bookmarkStart w:id="18" w:name="_Toc26778"/>
      <w:r>
        <w:rPr>
          <w:rStyle w:val="12"/>
          <w:rFonts w:hint="eastAsia" w:ascii="仿宋" w:hAnsi="仿宋" w:eastAsia="仿宋" w:cs="仿宋"/>
          <w:sz w:val="30"/>
          <w:szCs w:val="30"/>
        </w:rPr>
        <w:t>附件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Style w:val="12"/>
          <w:rFonts w:hint="eastAsia" w:ascii="仿宋" w:hAnsi="仿宋" w:eastAsia="仿宋" w:cs="仿宋"/>
          <w:sz w:val="30"/>
          <w:szCs w:val="30"/>
        </w:rPr>
        <w:t>：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评分细则</w:t>
      </w:r>
    </w:p>
    <w:tbl>
      <w:tblPr>
        <w:tblStyle w:val="9"/>
        <w:tblpPr w:leftFromText="180" w:rightFromText="180" w:vertAnchor="text" w:horzAnchor="page" w:tblpXSpec="center" w:tblpY="142"/>
        <w:tblOverlap w:val="never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6823"/>
      </w:tblGrid>
      <w:tr w14:paraId="0314C7F6">
        <w:trPr>
          <w:trHeight w:val="438" w:hRule="atLeast"/>
          <w:jc w:val="center"/>
        </w:trPr>
        <w:tc>
          <w:tcPr>
            <w:tcW w:w="9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8445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分值构成</w:t>
            </w: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3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技术评分细则50分</w:t>
            </w:r>
          </w:p>
        </w:tc>
      </w:tr>
      <w:tr w14:paraId="6396ACE9">
        <w:trPr>
          <w:trHeight w:val="270" w:hRule="atLeast"/>
          <w:jc w:val="center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41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商务评分细则30分</w:t>
            </w:r>
          </w:p>
        </w:tc>
      </w:tr>
      <w:tr w14:paraId="598DFCAA">
        <w:trPr>
          <w:trHeight w:val="270" w:hRule="atLeast"/>
          <w:jc w:val="center"/>
        </w:trPr>
        <w:tc>
          <w:tcPr>
            <w:tcW w:w="9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4C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经济价格评分细则20分</w:t>
            </w:r>
          </w:p>
        </w:tc>
      </w:tr>
    </w:tbl>
    <w:p w14:paraId="41B186A5">
      <w:pPr>
        <w:pStyle w:val="2"/>
        <w:numPr>
          <w:ilvl w:val="0"/>
          <w:numId w:val="0"/>
        </w:numPr>
        <w:spacing w:before="100" w:after="0" w:line="360" w:lineRule="auto"/>
        <w:jc w:val="center"/>
        <w:rPr>
          <w:rStyle w:val="12"/>
          <w:rFonts w:ascii="仿宋" w:hAnsi="仿宋" w:eastAsia="仿宋" w:cs="仿宋"/>
          <w:sz w:val="24"/>
          <w:szCs w:val="24"/>
        </w:rPr>
      </w:pPr>
      <w:r>
        <w:rPr>
          <w:rStyle w:val="12"/>
          <w:rFonts w:hint="eastAsia" w:ascii="仿宋" w:hAnsi="仿宋" w:eastAsia="仿宋" w:cs="仿宋"/>
          <w:sz w:val="30"/>
          <w:szCs w:val="30"/>
        </w:rPr>
        <w:t>技术评分</w:t>
      </w:r>
      <w:r>
        <w:rPr>
          <w:rFonts w:hint="eastAsia" w:ascii="仿宋" w:hAnsi="仿宋" w:eastAsia="仿宋" w:cs="仿宋"/>
          <w:sz w:val="30"/>
          <w:szCs w:val="30"/>
        </w:rPr>
        <w:t>细则</w:t>
      </w:r>
      <w:r>
        <w:rPr>
          <w:rStyle w:val="12"/>
          <w:rFonts w:hint="eastAsia" w:ascii="仿宋" w:hAnsi="仿宋" w:eastAsia="仿宋" w:cs="仿宋"/>
          <w:sz w:val="30"/>
          <w:szCs w:val="30"/>
        </w:rPr>
        <w:t>（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50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分）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tbl>
      <w:tblPr>
        <w:tblStyle w:val="9"/>
        <w:tblW w:w="8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6922"/>
        <w:tblGridChange w:id="0">
          <w:tblGrid>
            <w:gridCol w:w="1477"/>
            <w:gridCol w:w="6922"/>
          </w:tblGrid>
        </w:tblGridChange>
      </w:tblGrid>
      <w:tr w14:paraId="7E7FB43A">
        <w:trPr>
          <w:trHeight w:val="23" w:hRule="atLeast"/>
        </w:trPr>
        <w:tc>
          <w:tcPr>
            <w:tcW w:w="1477" w:type="dxa"/>
            <w:vAlign w:val="center"/>
          </w:tcPr>
          <w:p w14:paraId="326D6B2E"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评审内容</w:t>
            </w:r>
          </w:p>
        </w:tc>
        <w:tc>
          <w:tcPr>
            <w:tcW w:w="6922" w:type="dxa"/>
            <w:vAlign w:val="center"/>
          </w:tcPr>
          <w:p w14:paraId="406B7343"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评分细则</w:t>
            </w:r>
          </w:p>
        </w:tc>
      </w:tr>
      <w:tr w14:paraId="3628DD38">
        <w:trPr>
          <w:trHeight w:val="23" w:hRule="atLeast"/>
        </w:trPr>
        <w:tc>
          <w:tcPr>
            <w:tcW w:w="1477" w:type="dxa"/>
            <w:vAlign w:val="center"/>
          </w:tcPr>
          <w:p w14:paraId="433B531C"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对本项目的理解程度</w:t>
            </w:r>
          </w:p>
          <w:p w14:paraId="604AFEEE">
            <w:pPr>
              <w:pStyle w:val="4"/>
              <w:tabs>
                <w:tab w:val="left" w:pos="0"/>
                <w:tab w:val="left" w:pos="692"/>
              </w:tabs>
              <w:spacing w:line="360" w:lineRule="auto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6922" w:type="dxa"/>
            <w:vAlign w:val="center"/>
          </w:tcPr>
          <w:p w14:paraId="5300B46F"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kern w:val="0"/>
              </w:rPr>
              <w:t>项目需求的理解（包括但不限于：①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把握并提出活动</w:t>
            </w:r>
            <w:r>
              <w:rPr>
                <w:rFonts w:hint="eastAsia" w:ascii="仿宋" w:hAnsi="仿宋" w:eastAsia="仿宋" w:cs="仿宋"/>
                <w:kern w:val="0"/>
              </w:rPr>
              <w:t>主题与目标；②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根据</w:t>
            </w:r>
            <w:r>
              <w:rPr>
                <w:rFonts w:hint="eastAsia" w:ascii="仿宋" w:hAnsi="仿宋" w:eastAsia="仿宋" w:cs="仿宋"/>
                <w:kern w:val="0"/>
              </w:rPr>
              <w:t>项目需求书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提出项目</w:t>
            </w:r>
            <w:r>
              <w:rPr>
                <w:rFonts w:hint="eastAsia" w:ascii="仿宋" w:hAnsi="仿宋" w:eastAsia="仿宋" w:cs="仿宋"/>
                <w:kern w:val="0"/>
              </w:rPr>
              <w:t>重点、难点问题并给出可行解决办法；③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清晰回应工作内容</w:t>
            </w:r>
            <w:r>
              <w:rPr>
                <w:rFonts w:hint="eastAsia" w:ascii="仿宋" w:hAnsi="仿宋" w:eastAsia="仿宋" w:cs="仿宋"/>
                <w:kern w:val="0"/>
              </w:rPr>
              <w:t>；④清晰回应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交付成果</w:t>
            </w:r>
            <w:r>
              <w:rPr>
                <w:rFonts w:hint="eastAsia" w:ascii="仿宋" w:hAnsi="仿宋" w:eastAsia="仿宋" w:cs="仿宋"/>
                <w:kern w:val="0"/>
              </w:rPr>
              <w:t>等内容）进行综合评价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。</w:t>
            </w:r>
          </w:p>
          <w:p w14:paraId="67BBC295"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</w:rPr>
              <w:t>针对上述全部指标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内容</w:t>
            </w:r>
            <w:r>
              <w:rPr>
                <w:rFonts w:hint="eastAsia" w:ascii="仿宋" w:hAnsi="仿宋" w:eastAsia="仿宋" w:cs="仿宋"/>
                <w:kern w:val="0"/>
              </w:rPr>
              <w:t>作出了明确的响应，完全满足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且</w:t>
            </w:r>
            <w:r>
              <w:rPr>
                <w:rFonts w:hint="eastAsia" w:ascii="仿宋" w:hAnsi="仿宋" w:eastAsia="仿宋" w:cs="仿宋"/>
                <w:kern w:val="0"/>
              </w:rPr>
              <w:t>优于采购需求，得20分；</w:t>
            </w:r>
          </w:p>
          <w:p w14:paraId="52509ED0"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</w:rPr>
              <w:t>只针对上述全部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指标内容</w:t>
            </w:r>
            <w:r>
              <w:rPr>
                <w:rFonts w:hint="eastAsia" w:ascii="仿宋" w:hAnsi="仿宋" w:eastAsia="仿宋" w:cs="仿宋"/>
                <w:kern w:val="0"/>
              </w:rPr>
              <w:t>中的其中3项作出明确响应，且相应指标完全满足或者优于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对应的</w:t>
            </w:r>
            <w:r>
              <w:rPr>
                <w:rFonts w:hint="eastAsia" w:ascii="仿宋" w:hAnsi="仿宋" w:eastAsia="仿宋" w:cs="仿宋"/>
                <w:kern w:val="0"/>
              </w:rPr>
              <w:t>采购需求，得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</w:rPr>
              <w:t>分；</w:t>
            </w:r>
          </w:p>
          <w:p w14:paraId="540AEFC3"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</w:rPr>
              <w:t>只针对上述全部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指标内容</w:t>
            </w:r>
            <w:r>
              <w:rPr>
                <w:rFonts w:hint="eastAsia" w:ascii="仿宋" w:hAnsi="仿宋" w:eastAsia="仿宋" w:cs="仿宋"/>
                <w:kern w:val="0"/>
              </w:rPr>
              <w:t>中的其中2项作出明确响应，且相应指标完全满足或者优于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对应的</w:t>
            </w:r>
            <w:r>
              <w:rPr>
                <w:rFonts w:hint="eastAsia" w:ascii="仿宋" w:hAnsi="仿宋" w:eastAsia="仿宋" w:cs="仿宋"/>
                <w:kern w:val="0"/>
              </w:rPr>
              <w:t>采购需求，得10分；</w:t>
            </w:r>
          </w:p>
          <w:p w14:paraId="6392EF7E"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</w:rPr>
              <w:t>只针对上述全部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指标内容</w:t>
            </w:r>
            <w:r>
              <w:rPr>
                <w:rFonts w:hint="eastAsia" w:ascii="仿宋" w:hAnsi="仿宋" w:eastAsia="仿宋" w:cs="仿宋"/>
                <w:kern w:val="0"/>
              </w:rPr>
              <w:t>中的其中1项作出明确响应，且相应指标完全满足或者优于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对应的</w:t>
            </w:r>
            <w:r>
              <w:rPr>
                <w:rFonts w:hint="eastAsia" w:ascii="仿宋" w:hAnsi="仿宋" w:eastAsia="仿宋" w:cs="仿宋"/>
                <w:kern w:val="0"/>
              </w:rPr>
              <w:t>采购需求，得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</w:rPr>
              <w:t>分；</w:t>
            </w:r>
          </w:p>
          <w:p w14:paraId="67FA1558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kern w:val="0"/>
              </w:rPr>
              <w:t>未针对上述指标中的任何一项作出响应；或虽针对上述全部指标作出了响应但均不能满足采购需求；或未提供本项内容，不得分。</w:t>
            </w:r>
          </w:p>
        </w:tc>
      </w:tr>
      <w:tr w14:paraId="2ECA5C27">
        <w:trPr>
          <w:trHeight w:val="23" w:hRule="atLeast"/>
        </w:trPr>
        <w:tc>
          <w:tcPr>
            <w:tcW w:w="1477" w:type="dxa"/>
            <w:vAlign w:val="center"/>
          </w:tcPr>
          <w:p w14:paraId="25825ABC">
            <w:pPr>
              <w:pStyle w:val="4"/>
              <w:tabs>
                <w:tab w:val="left" w:pos="0"/>
                <w:tab w:val="left" w:pos="692"/>
              </w:tabs>
              <w:spacing w:line="360" w:lineRule="auto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服务方案</w:t>
            </w:r>
          </w:p>
          <w:p w14:paraId="0A3302E2">
            <w:pPr>
              <w:pStyle w:val="4"/>
              <w:tabs>
                <w:tab w:val="left" w:pos="0"/>
                <w:tab w:val="left" w:pos="692"/>
              </w:tabs>
              <w:spacing w:line="360" w:lineRule="auto"/>
              <w:ind w:left="0"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6922" w:type="dxa"/>
            <w:vAlign w:val="center"/>
          </w:tcPr>
          <w:p w14:paraId="4FAFF0BF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对项目实施方案（包括但不限于①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活动方案</w:t>
            </w:r>
            <w:r>
              <w:rPr>
                <w:rFonts w:hint="eastAsia" w:ascii="仿宋" w:hAnsi="仿宋" w:eastAsia="仿宋" w:cs="仿宋"/>
                <w:kern w:val="0"/>
              </w:rPr>
              <w:t>；②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活动流程</w:t>
            </w:r>
            <w:r>
              <w:rPr>
                <w:rFonts w:hint="eastAsia" w:ascii="仿宋" w:hAnsi="仿宋" w:eastAsia="仿宋" w:cs="仿宋"/>
                <w:kern w:val="0"/>
              </w:rPr>
              <w:t>；③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活动宣传（含视频制作及展陈方案）</w:t>
            </w:r>
            <w:r>
              <w:rPr>
                <w:rFonts w:hint="eastAsia" w:ascii="仿宋" w:hAnsi="仿宋" w:eastAsia="仿宋" w:cs="仿宋"/>
                <w:kern w:val="0"/>
              </w:rPr>
              <w:t>；④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现场执行</w:t>
            </w:r>
            <w:r>
              <w:rPr>
                <w:rFonts w:hint="eastAsia" w:ascii="仿宋" w:hAnsi="仿宋" w:eastAsia="仿宋" w:cs="仿宋"/>
                <w:kern w:val="0"/>
              </w:rPr>
              <w:t>）进行综合评价。</w:t>
            </w:r>
          </w:p>
          <w:p w14:paraId="17D0053F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 xml:space="preserve">1.针对上述全部指标作出了明确的响应，完全满足且优于采购需求，得20分； </w:t>
            </w:r>
          </w:p>
          <w:p w14:paraId="19FFA444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 xml:space="preserve">2.只针对上述指标中的其中3项作出明确响应，且相应指标完全满足或者优于对应的采购需求，得15分； </w:t>
            </w:r>
          </w:p>
          <w:p w14:paraId="29420598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 xml:space="preserve">3.只针对上述指标中的其中2项作出明确响应，且相应指标完全满足或者优于对应的采购需求，得10分； </w:t>
            </w:r>
          </w:p>
          <w:p w14:paraId="1A84B7C2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 xml:space="preserve">4.只针对上述指标中的其中1项作出明确响应，且相应指标完全满足或者优于对应的采购需求，得5分； </w:t>
            </w:r>
          </w:p>
          <w:p w14:paraId="1A944184">
            <w:pPr>
              <w:ind w:firstLine="0"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5.未针对上述指标中的任何一项作出响应；或虽针对上述全部指标作出了响应但均不能满足采购需求；或未提供本项内容，得0分。</w:t>
            </w:r>
          </w:p>
        </w:tc>
      </w:tr>
      <w:tr w14:paraId="2EB05A8E">
        <w:trPr>
          <w:trHeight w:val="23" w:hRule="atLeast"/>
        </w:trPr>
        <w:tc>
          <w:tcPr>
            <w:tcW w:w="1477" w:type="dxa"/>
            <w:vAlign w:val="center"/>
          </w:tcPr>
          <w:p w14:paraId="5AB92F76">
            <w:pPr>
              <w:ind w:firstLine="0" w:firstLineChars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val="en-GB"/>
              </w:rPr>
              <w:t>项目</w:t>
            </w:r>
            <w:r>
              <w:rPr>
                <w:rFonts w:hint="eastAsia" w:ascii="仿宋" w:hAnsi="仿宋" w:eastAsia="仿宋" w:cs="仿宋"/>
                <w:lang w:val="en-GB" w:eastAsia="zh-CN"/>
              </w:rPr>
              <w:t>质量</w:t>
            </w:r>
            <w:r>
              <w:rPr>
                <w:rFonts w:ascii="仿宋" w:hAnsi="仿宋" w:eastAsia="仿宋" w:cs="仿宋"/>
                <w:lang w:val="en-GB"/>
              </w:rPr>
              <w:t>保障</w:t>
            </w:r>
            <w:r>
              <w:rPr>
                <w:rFonts w:hint="eastAsia" w:ascii="仿宋" w:hAnsi="仿宋" w:eastAsia="仿宋" w:cs="仿宋"/>
                <w:lang w:val="en-GB" w:eastAsia="zh-CN"/>
              </w:rPr>
              <w:t>方案</w:t>
            </w:r>
          </w:p>
          <w:p w14:paraId="21741ABE"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分）</w:t>
            </w:r>
          </w:p>
        </w:tc>
        <w:tc>
          <w:tcPr>
            <w:tcW w:w="6922" w:type="dxa"/>
            <w:vAlign w:val="center"/>
          </w:tcPr>
          <w:p w14:paraId="5294255C"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对项目质量保证方案（包括但不限于①专业团队资质与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组织架构</w:t>
            </w:r>
            <w:r>
              <w:rPr>
                <w:rFonts w:hint="eastAsia" w:ascii="仿宋" w:hAnsi="仿宋" w:eastAsia="仿宋" w:cs="仿宋"/>
                <w:kern w:val="0"/>
              </w:rPr>
              <w:t>；②过往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项目经验</w:t>
            </w:r>
            <w:r>
              <w:rPr>
                <w:rFonts w:hint="eastAsia" w:ascii="仿宋" w:hAnsi="仿宋" w:eastAsia="仿宋" w:cs="仿宋"/>
                <w:kern w:val="0"/>
              </w:rPr>
              <w:t xml:space="preserve">；③质量审核及进度把控措施；④应急预案等内容）进行综合评价。 </w:t>
            </w:r>
          </w:p>
          <w:p w14:paraId="3A2F057F"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 xml:space="preserve">1.针对上述全部指标内容作出了明确的响应，完全满足且优于采购需求，得10分； </w:t>
            </w:r>
          </w:p>
          <w:p w14:paraId="12FF0470"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 xml:space="preserve">2.只针对上述指标中的其中3项作出明确响应，且相应指标完全满足或者优于对应的采购需求，得7分； </w:t>
            </w:r>
          </w:p>
          <w:p w14:paraId="72A4EE25"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 xml:space="preserve">3.只针对上述指标中的其中2项作出明确响应，且相应指标完全满足或者优于对应的采购需求，得5分； </w:t>
            </w:r>
          </w:p>
          <w:p w14:paraId="3BD87E4F">
            <w:pPr>
              <w:tabs>
                <w:tab w:val="left" w:pos="972"/>
              </w:tabs>
              <w:ind w:firstLine="0" w:firstLine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 xml:space="preserve">4.只针对上述指标中的其中1项作出明确响应，且相应指标完全满足或者优于对应的采购需求，得3分； </w:t>
            </w:r>
          </w:p>
          <w:p w14:paraId="6A845852">
            <w:pPr>
              <w:tabs>
                <w:tab w:val="left" w:pos="972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5.未针对上述指标中的任何一项作出响应；或虽针对上述全部指标作出了响应但均不能满足采购需求；或未提供本项内容，得0分。</w:t>
            </w:r>
          </w:p>
        </w:tc>
      </w:tr>
    </w:tbl>
    <w:p w14:paraId="3D73888A">
      <w:pPr>
        <w:pStyle w:val="2"/>
        <w:numPr>
          <w:ilvl w:val="0"/>
          <w:numId w:val="0"/>
        </w:numPr>
        <w:spacing w:before="100" w:after="0" w:line="360" w:lineRule="auto"/>
        <w:jc w:val="center"/>
        <w:rPr>
          <w:rStyle w:val="12"/>
          <w:rFonts w:ascii="仿宋" w:hAnsi="仿宋" w:eastAsia="仿宋" w:cs="仿宋"/>
          <w:sz w:val="30"/>
          <w:szCs w:val="30"/>
        </w:rPr>
      </w:pPr>
      <w:bookmarkStart w:id="19" w:name="_Toc10477"/>
      <w:bookmarkStart w:id="20" w:name="_Toc70015596"/>
      <w:bookmarkStart w:id="21" w:name="_Toc14226"/>
      <w:bookmarkStart w:id="22" w:name="_Toc15463"/>
      <w:bookmarkStart w:id="23" w:name="_Toc12535"/>
      <w:bookmarkStart w:id="24" w:name="_Toc11225"/>
      <w:bookmarkStart w:id="25" w:name="_Toc13335"/>
      <w:bookmarkStart w:id="26" w:name="_Toc24803"/>
      <w:bookmarkStart w:id="27" w:name="_Toc6884"/>
      <w:bookmarkStart w:id="28" w:name="_Toc1466"/>
      <w:bookmarkStart w:id="29" w:name="_Toc26961"/>
      <w:bookmarkStart w:id="30" w:name="_Toc18227"/>
      <w:bookmarkStart w:id="31" w:name="_Toc12039"/>
      <w:bookmarkStart w:id="32" w:name="_Toc6762"/>
      <w:bookmarkStart w:id="33" w:name="_Toc6295"/>
      <w:bookmarkStart w:id="34" w:name="_Toc9990"/>
      <w:bookmarkStart w:id="35" w:name="_Toc21325"/>
      <w:bookmarkStart w:id="36" w:name="_Toc83237337"/>
      <w:bookmarkStart w:id="37" w:name="_Toc6949"/>
      <w:bookmarkStart w:id="38" w:name="_Toc18905"/>
      <w:bookmarkStart w:id="39" w:name="_Toc20680"/>
      <w:bookmarkStart w:id="40" w:name="_Toc31977"/>
      <w:bookmarkStart w:id="41" w:name="_Toc7274"/>
      <w:bookmarkStart w:id="42" w:name="_Toc8009"/>
      <w:bookmarkStart w:id="43" w:name="_Toc19991"/>
      <w:r>
        <w:rPr>
          <w:rStyle w:val="12"/>
          <w:rFonts w:hint="eastAsia" w:ascii="仿宋" w:hAnsi="仿宋" w:eastAsia="仿宋" w:cs="仿宋"/>
          <w:sz w:val="30"/>
          <w:szCs w:val="30"/>
        </w:rPr>
        <w:t>商务评分细则（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分）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tbl>
      <w:tblPr>
        <w:tblStyle w:val="9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895"/>
      </w:tblGrid>
      <w:tr w14:paraId="5EA0DAAE">
        <w:trPr>
          <w:trHeight w:val="23" w:hRule="atLeast"/>
        </w:trPr>
        <w:tc>
          <w:tcPr>
            <w:tcW w:w="1470" w:type="dxa"/>
            <w:vAlign w:val="center"/>
          </w:tcPr>
          <w:p w14:paraId="0EEC3EEE"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评审内容</w:t>
            </w:r>
          </w:p>
        </w:tc>
        <w:tc>
          <w:tcPr>
            <w:tcW w:w="6895" w:type="dxa"/>
            <w:vAlign w:val="center"/>
          </w:tcPr>
          <w:p w14:paraId="2AA55957">
            <w:pPr>
              <w:ind w:firstLine="0" w:firstLineChars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评分细则</w:t>
            </w:r>
          </w:p>
        </w:tc>
      </w:tr>
      <w:tr w14:paraId="11F0A97A">
        <w:trPr>
          <w:trHeight w:val="2929" w:hRule="atLeast"/>
        </w:trPr>
        <w:tc>
          <w:tcPr>
            <w:tcW w:w="1470" w:type="dxa"/>
            <w:vAlign w:val="center"/>
          </w:tcPr>
          <w:p w14:paraId="38B4B684">
            <w:pPr>
              <w:ind w:firstLine="0" w:firstLineChars="0"/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业绩经验</w:t>
            </w:r>
          </w:p>
          <w:p w14:paraId="2E652A03">
            <w:pPr>
              <w:ind w:firstLine="0" w:firstLineChars="0"/>
              <w:jc w:val="center"/>
              <w:rPr>
                <w:rFonts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highlight w:val="none"/>
              </w:rPr>
              <w:t>分）</w:t>
            </w:r>
          </w:p>
        </w:tc>
        <w:tc>
          <w:tcPr>
            <w:tcW w:w="6895" w:type="dxa"/>
            <w:vAlign w:val="center"/>
          </w:tcPr>
          <w:p w14:paraId="3608FF69">
            <w:pPr>
              <w:tabs>
                <w:tab w:val="left" w:pos="972"/>
                <w:tab w:val="left" w:pos="3600"/>
              </w:tabs>
              <w:ind w:firstLine="0" w:firstLineChars="0"/>
              <w:rPr>
                <w:rFonts w:hint="default" w:ascii="仿宋" w:hAnsi="仿宋" w:eastAsia="仿宋" w:cs="仿宋"/>
                <w:kern w:val="0"/>
                <w:u w:val="none"/>
              </w:rPr>
            </w:pPr>
            <w:r>
              <w:rPr>
                <w:rFonts w:hint="default" w:ascii="仿宋" w:hAnsi="仿宋" w:eastAsia="仿宋" w:cs="仿宋"/>
                <w:kern w:val="0"/>
                <w:u w:val="none"/>
              </w:rPr>
              <w:t>根据投标人自2021年1月1日以来（以合同签订时间为准）承接过同类项目合同业绩（同类业绩指合同内容中包含</w:t>
            </w:r>
            <w:r>
              <w:rPr>
                <w:rFonts w:hint="eastAsia" w:ascii="仿宋" w:hAnsi="仿宋" w:eastAsia="仿宋" w:cs="仿宋"/>
                <w:kern w:val="0"/>
                <w:u w:val="none"/>
                <w:lang w:eastAsia="zh-CN"/>
              </w:rPr>
              <w:t>开展</w:t>
            </w:r>
            <w:r>
              <w:rPr>
                <w:rFonts w:hint="default" w:ascii="仿宋" w:hAnsi="仿宋" w:eastAsia="仿宋" w:cs="仿宋"/>
                <w:kern w:val="0"/>
                <w:u w:val="none"/>
              </w:rPr>
              <w:t>生态环境保护宣传推广活动相关的内容）的情况进行评分，每提供一份有效业绩得10分，本项满分30分。</w:t>
            </w:r>
          </w:p>
          <w:p w14:paraId="60065285">
            <w:pPr>
              <w:tabs>
                <w:tab w:val="left" w:pos="972"/>
                <w:tab w:val="left" w:pos="3600"/>
              </w:tabs>
              <w:ind w:firstLine="0" w:firstLineChars="0"/>
              <w:rPr>
                <w:rFonts w:ascii="仿宋" w:hAnsi="仿宋" w:eastAsia="仿宋" w:cs="仿宋"/>
                <w:kern w:val="0"/>
              </w:rPr>
            </w:pPr>
            <w:r>
              <w:rPr>
                <w:rFonts w:hint="default" w:ascii="仿宋" w:hAnsi="仿宋" w:eastAsia="仿宋" w:cs="仿宋"/>
                <w:kern w:val="0"/>
                <w:u w:val="none"/>
              </w:rPr>
              <w:t>注：投标文件中须提供项目合同全件复印件，或者合同关键页复印件（合同关键页应当体现合同当事人名称（甲乙双方名称，其中任意一人名称应当与投标人一致）、合同内容、合同签章处及合同签订时间等关键信息）以上复印件均需加盖投标人公章，未提供或提供的资料不符合要求的则不得分。</w:t>
            </w:r>
          </w:p>
        </w:tc>
      </w:tr>
    </w:tbl>
    <w:p w14:paraId="5E254AFE">
      <w:pPr>
        <w:pStyle w:val="8"/>
        <w:ind w:firstLine="0" w:firstLineChars="0"/>
        <w:rPr>
          <w:rFonts w:ascii="仿宋" w:hAnsi="仿宋" w:eastAsia="仿宋" w:cs="仿宋"/>
        </w:rPr>
      </w:pPr>
    </w:p>
    <w:p w14:paraId="38DDE39F">
      <w:pPr>
        <w:pStyle w:val="2"/>
        <w:numPr>
          <w:ilvl w:val="0"/>
          <w:numId w:val="0"/>
        </w:numPr>
        <w:spacing w:before="100" w:after="0" w:line="360" w:lineRule="auto"/>
        <w:jc w:val="center"/>
        <w:rPr>
          <w:rStyle w:val="12"/>
          <w:rFonts w:ascii="仿宋" w:hAnsi="仿宋" w:eastAsia="仿宋" w:cs="仿宋"/>
          <w:sz w:val="30"/>
          <w:szCs w:val="30"/>
        </w:rPr>
      </w:pPr>
      <w:bookmarkStart w:id="44" w:name="_Toc19934"/>
      <w:bookmarkStart w:id="45" w:name="_Toc3247"/>
      <w:bookmarkStart w:id="46" w:name="_Toc27096"/>
      <w:bookmarkStart w:id="47" w:name="_Toc22870"/>
      <w:bookmarkStart w:id="48" w:name="_Toc32034"/>
      <w:bookmarkStart w:id="49" w:name="_Toc30914"/>
      <w:bookmarkStart w:id="50" w:name="_Toc25899"/>
      <w:bookmarkStart w:id="51" w:name="_Toc3494"/>
      <w:bookmarkStart w:id="52" w:name="_Toc4946"/>
      <w:bookmarkStart w:id="53" w:name="_Toc5395"/>
      <w:bookmarkStart w:id="54" w:name="_Toc70015597"/>
      <w:bookmarkStart w:id="55" w:name="_Toc1367"/>
      <w:bookmarkStart w:id="56" w:name="_Toc20472"/>
      <w:bookmarkStart w:id="57" w:name="_Toc83237338"/>
      <w:bookmarkStart w:id="58" w:name="_Toc31423"/>
      <w:bookmarkStart w:id="59" w:name="_Toc812"/>
      <w:bookmarkStart w:id="60" w:name="_Toc23623"/>
      <w:bookmarkStart w:id="61" w:name="_Toc3595"/>
      <w:bookmarkStart w:id="62" w:name="_Toc9109"/>
      <w:bookmarkStart w:id="63" w:name="_Toc7833"/>
      <w:bookmarkStart w:id="64" w:name="_Toc30126"/>
      <w:bookmarkStart w:id="65" w:name="_Toc6515"/>
      <w:bookmarkStart w:id="66" w:name="_Toc13953"/>
      <w:bookmarkStart w:id="67" w:name="_Toc4194"/>
      <w:bookmarkStart w:id="68" w:name="_Toc7019"/>
      <w:r>
        <w:rPr>
          <w:rStyle w:val="12"/>
          <w:rFonts w:hint="eastAsia" w:ascii="仿宋" w:hAnsi="仿宋" w:eastAsia="仿宋" w:cs="仿宋"/>
          <w:sz w:val="30"/>
          <w:szCs w:val="30"/>
        </w:rPr>
        <w:t>经济价格评分细则（</w:t>
      </w:r>
      <w:r>
        <w:rPr>
          <w:rStyle w:val="12"/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Style w:val="12"/>
          <w:rFonts w:hint="eastAsia" w:ascii="仿宋" w:hAnsi="仿宋" w:eastAsia="仿宋" w:cs="仿宋"/>
          <w:sz w:val="30"/>
          <w:szCs w:val="30"/>
        </w:rPr>
        <w:t>分）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tbl>
      <w:tblPr>
        <w:tblStyle w:val="10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6870"/>
      </w:tblGrid>
      <w:tr w14:paraId="093A95E3">
        <w:tc>
          <w:tcPr>
            <w:tcW w:w="1455" w:type="dxa"/>
            <w:vAlign w:val="center"/>
          </w:tcPr>
          <w:p w14:paraId="614D4D87">
            <w:pPr>
              <w:pStyle w:val="13"/>
              <w:tabs>
                <w:tab w:val="left" w:pos="332"/>
              </w:tabs>
              <w:snapToGrid w:val="0"/>
              <w:ind w:firstLine="0" w:firstLineChars="0"/>
              <w:jc w:val="center"/>
              <w:rPr>
                <w:rStyle w:val="12"/>
                <w:rFonts w:hint="eastAsia" w:ascii="仿宋" w:hAnsi="仿宋" w:eastAsia="仿宋" w:cs="仿宋"/>
                <w:bCs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Cs/>
                <w:szCs w:val="24"/>
                <w:vertAlign w:val="baseline"/>
                <w:lang w:val="en-US" w:eastAsia="zh-CN"/>
              </w:rPr>
              <w:t>评审内容</w:t>
            </w:r>
          </w:p>
        </w:tc>
        <w:tc>
          <w:tcPr>
            <w:tcW w:w="6870" w:type="dxa"/>
            <w:vAlign w:val="center"/>
          </w:tcPr>
          <w:p w14:paraId="68F98794">
            <w:pPr>
              <w:pStyle w:val="13"/>
              <w:tabs>
                <w:tab w:val="left" w:pos="332"/>
              </w:tabs>
              <w:snapToGrid w:val="0"/>
              <w:ind w:firstLine="0" w:firstLineChars="0"/>
              <w:jc w:val="center"/>
              <w:rPr>
                <w:rStyle w:val="12"/>
                <w:rFonts w:hint="eastAsia" w:ascii="仿宋" w:hAnsi="仿宋" w:eastAsia="仿宋" w:cs="仿宋"/>
                <w:bCs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Cs/>
                <w:szCs w:val="24"/>
                <w:vertAlign w:val="baseline"/>
                <w:lang w:val="en-US" w:eastAsia="zh-CN"/>
              </w:rPr>
              <w:t>评分细则</w:t>
            </w:r>
          </w:p>
        </w:tc>
      </w:tr>
      <w:tr w14:paraId="7EF72400">
        <w:tc>
          <w:tcPr>
            <w:tcW w:w="1455" w:type="dxa"/>
            <w:vAlign w:val="center"/>
          </w:tcPr>
          <w:p w14:paraId="412FAE05">
            <w:pPr>
              <w:pStyle w:val="13"/>
              <w:tabs>
                <w:tab w:val="left" w:pos="332"/>
              </w:tabs>
              <w:snapToGrid w:val="0"/>
              <w:ind w:firstLine="0" w:firstLineChars="0"/>
              <w:jc w:val="center"/>
              <w:rPr>
                <w:rStyle w:val="12"/>
                <w:rFonts w:hint="eastAsia" w:ascii="仿宋" w:hAnsi="仿宋" w:eastAsia="仿宋" w:cs="仿宋"/>
                <w:bCs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Cs/>
                <w:szCs w:val="24"/>
                <w:vertAlign w:val="baseline"/>
                <w:lang w:val="en-US" w:eastAsia="zh-CN"/>
              </w:rPr>
              <w:t>经济价格（20分）</w:t>
            </w:r>
          </w:p>
        </w:tc>
        <w:tc>
          <w:tcPr>
            <w:tcW w:w="6870" w:type="dxa"/>
          </w:tcPr>
          <w:p w14:paraId="7591E170">
            <w:pPr>
              <w:pStyle w:val="13"/>
              <w:tabs>
                <w:tab w:val="left" w:pos="332"/>
              </w:tabs>
              <w:snapToGrid w:val="0"/>
              <w:ind w:firstLine="0" w:firstLineChars="0"/>
              <w:rPr>
                <w:rStyle w:val="12"/>
                <w:rFonts w:ascii="仿宋" w:hAnsi="仿宋" w:eastAsia="仿宋" w:cs="仿宋"/>
                <w:bCs/>
                <w:szCs w:val="24"/>
              </w:rPr>
            </w:pPr>
            <w:r>
              <w:rPr>
                <w:rStyle w:val="12"/>
                <w:rFonts w:hint="eastAsia" w:ascii="仿宋" w:hAnsi="仿宋" w:eastAsia="仿宋" w:cs="仿宋"/>
                <w:bCs/>
                <w:szCs w:val="24"/>
              </w:rPr>
              <w:t>各投标人的投标报价得分按以下公式进行计算：</w:t>
            </w:r>
          </w:p>
          <w:p w14:paraId="34B51F41">
            <w:pPr>
              <w:pStyle w:val="13"/>
              <w:tabs>
                <w:tab w:val="left" w:pos="332"/>
              </w:tabs>
              <w:snapToGrid w:val="0"/>
              <w:ind w:firstLine="0" w:firstLineChars="0"/>
            </w:pPr>
            <w:r>
              <w:rPr>
                <w:rStyle w:val="12"/>
                <w:rFonts w:hint="eastAsia" w:ascii="仿宋" w:hAnsi="仿宋" w:eastAsia="仿宋" w:cs="仿宋"/>
                <w:bCs/>
                <w:szCs w:val="24"/>
              </w:rPr>
              <w:t>投标报价得分=(评标基准价/评标价)×</w:t>
            </w:r>
            <w:r>
              <w:rPr>
                <w:rStyle w:val="12"/>
                <w:rFonts w:hint="eastAsia" w:ascii="仿宋" w:hAnsi="仿宋" w:eastAsia="仿宋" w:cs="仿宋"/>
                <w:bCs/>
                <w:szCs w:val="24"/>
                <w:lang w:val="en-US" w:eastAsia="zh-CN"/>
              </w:rPr>
              <w:t>2</w:t>
            </w:r>
            <w:r>
              <w:rPr>
                <w:rStyle w:val="12"/>
                <w:rFonts w:hint="eastAsia" w:ascii="仿宋" w:hAnsi="仿宋" w:eastAsia="仿宋" w:cs="仿宋"/>
                <w:bCs/>
                <w:szCs w:val="24"/>
              </w:rPr>
              <w:t>0%×100</w:t>
            </w:r>
          </w:p>
          <w:p w14:paraId="357835B6">
            <w:pPr>
              <w:pStyle w:val="13"/>
              <w:tabs>
                <w:tab w:val="left" w:pos="332"/>
              </w:tabs>
              <w:snapToGrid w:val="0"/>
              <w:ind w:firstLine="0" w:firstLineChars="0"/>
              <w:rPr>
                <w:rStyle w:val="12"/>
                <w:rFonts w:hint="eastAsia" w:ascii="仿宋" w:hAnsi="仿宋" w:eastAsia="仿宋" w:cs="仿宋"/>
                <w:bCs/>
                <w:szCs w:val="24"/>
                <w:vertAlign w:val="baseline"/>
              </w:rPr>
            </w:pPr>
            <w:r>
              <w:rPr>
                <w:rStyle w:val="12"/>
                <w:rFonts w:hint="eastAsia" w:ascii="仿宋" w:hAnsi="仿宋" w:eastAsia="仿宋" w:cs="仿宋"/>
                <w:bCs/>
                <w:szCs w:val="24"/>
                <w:vertAlign w:val="baseline"/>
              </w:rPr>
              <w:t>上述公式中的“评标基准价”为满足项目需求书要求的最低评标价，其价格得分为满分。上述公式中的“评标价”为在报价基础上作算术修正后的价格，无算术修正情况下，报价即为评标价。</w:t>
            </w:r>
          </w:p>
        </w:tc>
      </w:tr>
    </w:tbl>
    <w:p w14:paraId="65F09525">
      <w:pPr>
        <w:pStyle w:val="13"/>
        <w:tabs>
          <w:tab w:val="left" w:pos="332"/>
        </w:tabs>
        <w:snapToGrid w:val="0"/>
        <w:ind w:firstLine="480"/>
        <w:rPr>
          <w:rStyle w:val="12"/>
          <w:rFonts w:hint="eastAsia" w:ascii="仿宋" w:hAnsi="仿宋" w:eastAsia="仿宋" w:cs="仿宋"/>
          <w:bCs/>
          <w:szCs w:val="24"/>
        </w:rPr>
      </w:pPr>
    </w:p>
    <w:p w14:paraId="41D56EC0">
      <w:pPr>
        <w:pStyle w:val="13"/>
        <w:tabs>
          <w:tab w:val="left" w:pos="332"/>
        </w:tabs>
        <w:snapToGrid w:val="0"/>
        <w:ind w:firstLine="480"/>
        <w:rPr>
          <w:rStyle w:val="12"/>
          <w:rFonts w:hint="eastAsia" w:ascii="仿宋" w:hAnsi="仿宋" w:eastAsia="仿宋" w:cs="仿宋"/>
          <w:bCs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2A041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55CF0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63FE9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6E0A1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0DA47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5EC3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D4A3F"/>
    <w:multiLevelType w:val="multilevel"/>
    <w:tmpl w:val="3E9D4A3F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Zjk1NjVjMWU5OTk0ZDRhOTRhMWRmZGMyY2I5MjAifQ=="/>
  </w:docVars>
  <w:rsids>
    <w:rsidRoot w:val="00783AED"/>
    <w:rsid w:val="00045F71"/>
    <w:rsid w:val="0006119C"/>
    <w:rsid w:val="00080D9D"/>
    <w:rsid w:val="000F4777"/>
    <w:rsid w:val="001010F7"/>
    <w:rsid w:val="00124D04"/>
    <w:rsid w:val="0016387E"/>
    <w:rsid w:val="001D4843"/>
    <w:rsid w:val="001E3956"/>
    <w:rsid w:val="001E7DD5"/>
    <w:rsid w:val="00207959"/>
    <w:rsid w:val="00267C62"/>
    <w:rsid w:val="002A7488"/>
    <w:rsid w:val="002C0A25"/>
    <w:rsid w:val="002F0DA7"/>
    <w:rsid w:val="00305FDE"/>
    <w:rsid w:val="00347C7B"/>
    <w:rsid w:val="00352E23"/>
    <w:rsid w:val="00381D51"/>
    <w:rsid w:val="003D26D8"/>
    <w:rsid w:val="00433C2E"/>
    <w:rsid w:val="00541AE5"/>
    <w:rsid w:val="00556CF5"/>
    <w:rsid w:val="006105DC"/>
    <w:rsid w:val="006544AA"/>
    <w:rsid w:val="006A7E37"/>
    <w:rsid w:val="006B386E"/>
    <w:rsid w:val="006C5801"/>
    <w:rsid w:val="006D210D"/>
    <w:rsid w:val="007255C9"/>
    <w:rsid w:val="00751194"/>
    <w:rsid w:val="00783AED"/>
    <w:rsid w:val="00787536"/>
    <w:rsid w:val="007A293A"/>
    <w:rsid w:val="007D0BFF"/>
    <w:rsid w:val="007E1887"/>
    <w:rsid w:val="007E52DF"/>
    <w:rsid w:val="007E5745"/>
    <w:rsid w:val="007F2C01"/>
    <w:rsid w:val="007F7BF5"/>
    <w:rsid w:val="008731E7"/>
    <w:rsid w:val="008C4311"/>
    <w:rsid w:val="008F65A6"/>
    <w:rsid w:val="00936845"/>
    <w:rsid w:val="00962DED"/>
    <w:rsid w:val="00977D05"/>
    <w:rsid w:val="00993E8A"/>
    <w:rsid w:val="00A06BE9"/>
    <w:rsid w:val="00A10012"/>
    <w:rsid w:val="00A21B1B"/>
    <w:rsid w:val="00A416E2"/>
    <w:rsid w:val="00AF2A43"/>
    <w:rsid w:val="00B17BBB"/>
    <w:rsid w:val="00BD18C8"/>
    <w:rsid w:val="00BF48DE"/>
    <w:rsid w:val="00C415E9"/>
    <w:rsid w:val="00C7752B"/>
    <w:rsid w:val="00C85CE8"/>
    <w:rsid w:val="00CA117E"/>
    <w:rsid w:val="00D4055D"/>
    <w:rsid w:val="00D93F9D"/>
    <w:rsid w:val="00DA4FDA"/>
    <w:rsid w:val="00E54BE2"/>
    <w:rsid w:val="00F251E5"/>
    <w:rsid w:val="00F566E4"/>
    <w:rsid w:val="00FE19B3"/>
    <w:rsid w:val="00FE1F9B"/>
    <w:rsid w:val="01A35B5C"/>
    <w:rsid w:val="043E49C8"/>
    <w:rsid w:val="08254C4E"/>
    <w:rsid w:val="09EA0AA5"/>
    <w:rsid w:val="09FE6E56"/>
    <w:rsid w:val="0CCF5881"/>
    <w:rsid w:val="0EEE0C6B"/>
    <w:rsid w:val="100B407B"/>
    <w:rsid w:val="115B28EE"/>
    <w:rsid w:val="12EF0648"/>
    <w:rsid w:val="15BF155F"/>
    <w:rsid w:val="17D111EB"/>
    <w:rsid w:val="1BCD48DA"/>
    <w:rsid w:val="1CCB7DBD"/>
    <w:rsid w:val="20E40D06"/>
    <w:rsid w:val="265248D9"/>
    <w:rsid w:val="27F71C0E"/>
    <w:rsid w:val="28660986"/>
    <w:rsid w:val="2CBA5EB5"/>
    <w:rsid w:val="313F51D5"/>
    <w:rsid w:val="32D44E75"/>
    <w:rsid w:val="36140EF6"/>
    <w:rsid w:val="39C250DB"/>
    <w:rsid w:val="3B4B68CB"/>
    <w:rsid w:val="3B4C7172"/>
    <w:rsid w:val="3BB47A2E"/>
    <w:rsid w:val="3E405364"/>
    <w:rsid w:val="3E7D15CF"/>
    <w:rsid w:val="3F1E192D"/>
    <w:rsid w:val="3F315B8A"/>
    <w:rsid w:val="3F32613E"/>
    <w:rsid w:val="3FB6697C"/>
    <w:rsid w:val="418C2076"/>
    <w:rsid w:val="45065E4B"/>
    <w:rsid w:val="46A2609C"/>
    <w:rsid w:val="47EF4799"/>
    <w:rsid w:val="4A2033D0"/>
    <w:rsid w:val="4A4E699B"/>
    <w:rsid w:val="4A581909"/>
    <w:rsid w:val="4B247B60"/>
    <w:rsid w:val="53DF82A1"/>
    <w:rsid w:val="53FC00FE"/>
    <w:rsid w:val="59E81790"/>
    <w:rsid w:val="5B1A73B7"/>
    <w:rsid w:val="5D6F712E"/>
    <w:rsid w:val="5DA435ED"/>
    <w:rsid w:val="5F324C29"/>
    <w:rsid w:val="5FF212B9"/>
    <w:rsid w:val="64A8510C"/>
    <w:rsid w:val="67CD648C"/>
    <w:rsid w:val="68031DFA"/>
    <w:rsid w:val="687F4E68"/>
    <w:rsid w:val="6D000D49"/>
    <w:rsid w:val="6E785BF6"/>
    <w:rsid w:val="6E7A5F6B"/>
    <w:rsid w:val="725B6C9D"/>
    <w:rsid w:val="72C22595"/>
    <w:rsid w:val="74C2448C"/>
    <w:rsid w:val="79CA35D6"/>
    <w:rsid w:val="7A4848D1"/>
    <w:rsid w:val="7B5B42CD"/>
    <w:rsid w:val="7D591CA2"/>
    <w:rsid w:val="7D9C3927"/>
    <w:rsid w:val="7EF9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before="260" w:after="260" w:line="415" w:lineRule="auto"/>
      <w:ind w:firstLineChars="0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 2"/>
    <w:basedOn w:val="1"/>
    <w:next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5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Body Text First Indent"/>
    <w:basedOn w:val="3"/>
    <w:unhideWhenUsed/>
    <w:qFormat/>
    <w:uiPriority w:val="99"/>
    <w:pPr>
      <w:spacing w:line="240" w:lineRule="auto"/>
      <w:ind w:firstLine="420" w:firstLineChars="100"/>
    </w:pPr>
    <w:rPr>
      <w:rFonts w:ascii="Calibri" w:hAnsi="Calibri"/>
      <w:sz w:val="21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NormalCharacter"/>
    <w:qFormat/>
    <w:uiPriority w:val="0"/>
  </w:style>
  <w:style w:type="paragraph" w:customStyle="1" w:styleId="13">
    <w:name w:val="PlainText"/>
    <w:basedOn w:val="1"/>
    <w:qFormat/>
    <w:uiPriority w:val="0"/>
    <w:rPr>
      <w:rFonts w:ascii="宋体" w:hAnsi="Courier New"/>
      <w:szCs w:val="21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批注框文本 Char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9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xiaomuying/Library/Containers/com.kingsoft.wpsoffice.mac/Data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3</Pages>
  <Words>1323</Words>
  <Characters>1365</Characters>
  <Lines>7</Lines>
  <Paragraphs>2</Paragraphs>
  <TotalTime>161</TotalTime>
  <ScaleCrop>false</ScaleCrop>
  <LinksUpToDate>false</LinksUpToDate>
  <CharactersWithSpaces>1374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2024-02-05T20:36:00Z</dcterms:created>
  <dc:creator>Administrator</dc:creator>
  <cp:lastModifiedBy>RaphaelL</cp:lastModifiedBy>
  <cp:lastPrinted>2024-02-28T01:31:00Z</cp:lastPrinted>
  <dcterms:modified xsi:type="dcterms:W3CDTF">2026-07-08T13:37:46Z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B4A0AD97B59E4756AB8C0025EF4ED722</vt:lpwstr>
  </property>
  <property fmtid="{D5CDD505-2E9C-101B-9397-08002B2CF9AE}" pid="4" name="KSOTemplateDocerSaveRecord">
    <vt:lpwstr>eyJoZGlkIjoiZDk1NjBiNjlkZjhkOTZmMDNjYzNhOWFiOTRiODkxYjUiLCJ1c2VySWQiOiIyNjk5Mjg0OTEifQ==</vt:lpwstr>
  </property>
</Properties>
</file>