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before="100" w:after="0" w:line="360" w:lineRule="auto"/>
        <w:jc w:val="both"/>
        <w:rPr>
          <w:rStyle w:val="12"/>
          <w:rFonts w:hint="eastAsia" w:ascii="仿宋" w:hAnsi="仿宋" w:eastAsia="仿宋" w:cs="仿宋"/>
          <w:sz w:val="30"/>
          <w:szCs w:val="30"/>
          <w:lang w:val="en-US" w:eastAsia="zh-CN"/>
        </w:rPr>
      </w:pPr>
      <w:bookmarkStart w:id="0" w:name="_Toc70015595"/>
      <w:bookmarkStart w:id="1" w:name="_Toc17796"/>
      <w:bookmarkStart w:id="2" w:name="_Toc10390"/>
      <w:bookmarkStart w:id="3" w:name="_Toc6736"/>
      <w:bookmarkStart w:id="4" w:name="_Toc25031"/>
      <w:bookmarkStart w:id="5" w:name="_Toc24533"/>
      <w:bookmarkStart w:id="6" w:name="_Toc13465"/>
      <w:bookmarkStart w:id="7" w:name="_Toc83237336"/>
      <w:bookmarkStart w:id="8" w:name="_Toc3582"/>
      <w:bookmarkStart w:id="9" w:name="_Toc5046"/>
      <w:bookmarkStart w:id="10" w:name="_Toc22648"/>
      <w:bookmarkStart w:id="11" w:name="_Toc29548"/>
      <w:bookmarkStart w:id="12" w:name="_Toc25943"/>
      <w:bookmarkStart w:id="13" w:name="_Toc26778"/>
      <w:bookmarkStart w:id="14" w:name="_Toc28990"/>
      <w:bookmarkStart w:id="15" w:name="_Toc27635"/>
      <w:bookmarkStart w:id="16" w:name="_Toc3580"/>
      <w:bookmarkStart w:id="17" w:name="_Toc4342"/>
      <w:bookmarkStart w:id="18" w:name="_Toc8800"/>
      <w:r>
        <w:rPr>
          <w:rStyle w:val="12"/>
          <w:rFonts w:hint="eastAsia" w:ascii="仿宋" w:hAnsi="仿宋" w:eastAsia="仿宋" w:cs="仿宋"/>
          <w:sz w:val="30"/>
          <w:szCs w:val="30"/>
        </w:rPr>
        <w:t>附件</w:t>
      </w:r>
      <w:r>
        <w:rPr>
          <w:rStyle w:val="12"/>
          <w:rFonts w:hint="eastAsia" w:ascii="仿宋" w:hAnsi="仿宋" w:eastAsia="仿宋" w:cs="仿宋"/>
          <w:sz w:val="30"/>
          <w:szCs w:val="30"/>
          <w:lang w:val="en-US" w:eastAsia="zh-CN"/>
        </w:rPr>
        <w:t>三</w:t>
      </w:r>
      <w:r>
        <w:rPr>
          <w:rStyle w:val="12"/>
          <w:rFonts w:hint="eastAsia" w:ascii="仿宋" w:hAnsi="仿宋" w:eastAsia="仿宋" w:cs="仿宋"/>
          <w:sz w:val="30"/>
          <w:szCs w:val="30"/>
        </w:rPr>
        <w:t>：</w:t>
      </w:r>
      <w:r>
        <w:rPr>
          <w:rStyle w:val="12"/>
          <w:rFonts w:hint="eastAsia" w:ascii="仿宋" w:hAnsi="仿宋" w:eastAsia="仿宋" w:cs="仿宋"/>
          <w:sz w:val="30"/>
          <w:szCs w:val="30"/>
          <w:lang w:val="en-US" w:eastAsia="zh-CN"/>
        </w:rPr>
        <w:t>评分细则</w:t>
      </w:r>
    </w:p>
    <w:tbl>
      <w:tblPr>
        <w:tblStyle w:val="10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5"/>
        <w:gridCol w:w="6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0" w:firstLineChars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分值构成</w:t>
            </w:r>
          </w:p>
        </w:tc>
        <w:tc>
          <w:tcPr>
            <w:tcW w:w="6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技术评分细则50分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商务评分细则30分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5" w:type="dxa"/>
            <w:vMerge w:val="continue"/>
            <w:vAlign w:val="center"/>
          </w:tcPr>
          <w:p>
            <w:pPr>
              <w:ind w:firstLine="480" w:firstLineChars="200"/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6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经济价格评分细则20分</w:t>
            </w:r>
          </w:p>
        </w:tc>
      </w:tr>
    </w:tbl>
    <w:p>
      <w:pPr>
        <w:pStyle w:val="2"/>
        <w:numPr>
          <w:ilvl w:val="0"/>
          <w:numId w:val="0"/>
        </w:numPr>
        <w:spacing w:before="100" w:after="0" w:line="360" w:lineRule="auto"/>
        <w:jc w:val="both"/>
        <w:rPr>
          <w:rStyle w:val="12"/>
          <w:rFonts w:hint="eastAsia" w:ascii="仿宋" w:hAnsi="仿宋" w:eastAsia="仿宋" w:cs="仿宋"/>
          <w:sz w:val="30"/>
          <w:szCs w:val="30"/>
        </w:rPr>
      </w:pPr>
    </w:p>
    <w:p>
      <w:pPr>
        <w:pStyle w:val="2"/>
        <w:numPr>
          <w:ilvl w:val="0"/>
          <w:numId w:val="0"/>
        </w:numPr>
        <w:spacing w:before="100" w:after="0" w:line="360" w:lineRule="auto"/>
        <w:jc w:val="center"/>
        <w:rPr>
          <w:rStyle w:val="12"/>
          <w:rFonts w:ascii="仿宋" w:hAnsi="仿宋" w:eastAsia="仿宋" w:cs="仿宋"/>
          <w:sz w:val="24"/>
          <w:szCs w:val="24"/>
        </w:rPr>
      </w:pPr>
      <w:r>
        <w:rPr>
          <w:rStyle w:val="12"/>
          <w:rFonts w:hint="eastAsia" w:ascii="仿宋" w:hAnsi="仿宋" w:eastAsia="仿宋" w:cs="仿宋"/>
          <w:sz w:val="30"/>
          <w:szCs w:val="30"/>
        </w:rPr>
        <w:t>技术评分</w:t>
      </w:r>
      <w:r>
        <w:rPr>
          <w:rFonts w:hint="eastAsia" w:ascii="仿宋" w:hAnsi="仿宋" w:eastAsia="仿宋" w:cs="仿宋"/>
          <w:sz w:val="30"/>
          <w:szCs w:val="30"/>
        </w:rPr>
        <w:t>细则</w:t>
      </w:r>
      <w:r>
        <w:rPr>
          <w:rStyle w:val="12"/>
          <w:rFonts w:hint="eastAsia" w:ascii="仿宋" w:hAnsi="仿宋" w:eastAsia="仿宋" w:cs="仿宋"/>
          <w:sz w:val="30"/>
          <w:szCs w:val="30"/>
        </w:rPr>
        <w:t>（</w:t>
      </w:r>
      <w:r>
        <w:rPr>
          <w:rStyle w:val="12"/>
          <w:rFonts w:hint="eastAsia" w:ascii="仿宋" w:hAnsi="仿宋" w:eastAsia="仿宋" w:cs="仿宋"/>
          <w:sz w:val="30"/>
          <w:szCs w:val="30"/>
          <w:lang w:val="en-US" w:eastAsia="zh-CN"/>
        </w:rPr>
        <w:t>50</w:t>
      </w:r>
      <w:r>
        <w:rPr>
          <w:rStyle w:val="12"/>
          <w:rFonts w:hint="eastAsia" w:ascii="仿宋" w:hAnsi="仿宋" w:eastAsia="仿宋" w:cs="仿宋"/>
          <w:sz w:val="30"/>
          <w:szCs w:val="30"/>
        </w:rPr>
        <w:t>分）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tbl>
      <w:tblPr>
        <w:tblStyle w:val="9"/>
        <w:tblW w:w="8399" w:type="dxa"/>
        <w:tblInd w:w="0" w:type="dxa"/>
        <w:tblBorders>
          <w:top w:val="outset" w:color="auto" w:sz="12" w:space="0"/>
          <w:left w:val="outset" w:color="auto" w:sz="12" w:space="0"/>
          <w:bottom w:val="outset" w:color="auto" w:sz="12" w:space="0"/>
          <w:right w:val="outset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77"/>
        <w:gridCol w:w="6922"/>
      </w:tblGrid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评审内容</w:t>
            </w:r>
          </w:p>
        </w:tc>
        <w:tc>
          <w:tcPr>
            <w:tcW w:w="6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评分细则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对本项目的理解程度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</w:rPr>
              <w:t>分）</w:t>
            </w:r>
          </w:p>
        </w:tc>
        <w:tc>
          <w:tcPr>
            <w:tcW w:w="6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对项目需求的理解（包括但不限于：①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准确</w:t>
            </w:r>
            <w:r>
              <w:rPr>
                <w:rFonts w:hint="eastAsia" w:ascii="仿宋" w:hAnsi="仿宋" w:eastAsia="仿宋" w:cs="仿宋"/>
                <w:kern w:val="0"/>
              </w:rPr>
              <w:t>把握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项目背景与定位</w:t>
            </w:r>
            <w:r>
              <w:rPr>
                <w:rFonts w:hint="eastAsia" w:ascii="仿宋" w:hAnsi="仿宋" w:eastAsia="仿宋" w:cs="仿宋"/>
                <w:kern w:val="0"/>
              </w:rPr>
              <w:t>；②充分了解并分析项目现状,充分理解该项目服务要求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kern w:val="0"/>
              </w:rPr>
              <w:t>③根据项目需求书提出项目重点、难点问题并给出可行解决办法；④清晰回应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kern w:val="0"/>
              </w:rPr>
              <w:t>工作内容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和</w:t>
            </w:r>
            <w:r>
              <w:rPr>
                <w:rFonts w:hint="eastAsia" w:ascii="仿宋" w:hAnsi="仿宋" w:eastAsia="仿宋" w:cs="仿宋"/>
                <w:kern w:val="0"/>
              </w:rPr>
              <w:t>交付成果等内容）进行综合评价。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kern w:val="0"/>
              </w:rPr>
              <w:t>投标人所投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标书响应上述全部指标</w:t>
            </w:r>
            <w:r>
              <w:rPr>
                <w:rFonts w:hint="eastAsia" w:ascii="仿宋" w:hAnsi="仿宋" w:eastAsia="仿宋" w:cs="仿宋"/>
                <w:kern w:val="0"/>
              </w:rPr>
              <w:t>（共4项）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，且</w:t>
            </w:r>
            <w:r>
              <w:rPr>
                <w:rFonts w:hint="eastAsia" w:ascii="仿宋" w:hAnsi="仿宋" w:eastAsia="仿宋" w:cs="仿宋"/>
                <w:kern w:val="0"/>
              </w:rPr>
              <w:t>完全满足或优于采购需求的，得20分；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kern w:val="0"/>
              </w:rPr>
              <w:t>每有1项指标不满足采购需求的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（含未明确响应的）</w:t>
            </w:r>
            <w:r>
              <w:rPr>
                <w:rFonts w:hint="eastAsia" w:ascii="仿宋" w:hAnsi="仿宋" w:eastAsia="仿宋" w:cs="仿宋"/>
                <w:kern w:val="0"/>
              </w:rPr>
              <w:t>，扣5分，扣完为止；</w:t>
            </w:r>
          </w:p>
          <w:p>
            <w:pPr>
              <w:ind w:firstLine="0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kern w:val="0"/>
              </w:rPr>
              <w:t>投标人未提供本项内容，或未对上述任何一项指标作出明确响应的，本项得0分</w:t>
            </w:r>
            <w:r>
              <w:rPr>
                <w:rFonts w:ascii="仿宋" w:hAnsi="仿宋" w:eastAsia="仿宋" w:cs="仿宋"/>
                <w:kern w:val="0"/>
              </w:rPr>
              <w:t>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4"/>
              <w:tabs>
                <w:tab w:val="left" w:pos="0"/>
                <w:tab w:val="left" w:pos="692"/>
              </w:tabs>
              <w:spacing w:line="360" w:lineRule="auto"/>
              <w:ind w:left="0" w:firstLine="0" w:firstLineChars="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项目实施方案（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分）</w:t>
            </w:r>
          </w:p>
        </w:tc>
        <w:tc>
          <w:tcPr>
            <w:tcW w:w="6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对项目实施方案（包括但不限于①持续打造品牌影响力及IP形象；②打造线上线下宣传网络；③推动构筑碳普惠生态；④开展平台日常运营工作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等内容</w:t>
            </w:r>
            <w:r>
              <w:rPr>
                <w:rFonts w:hint="eastAsia" w:ascii="仿宋" w:hAnsi="仿宋" w:eastAsia="仿宋" w:cs="仿宋"/>
                <w:kern w:val="0"/>
              </w:rPr>
              <w:t>）进行综合评价。</w:t>
            </w:r>
          </w:p>
          <w:p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1.投标人所投标书响应上述全部指标（共4项），且完全满足或优于采购需求的，得20分；</w:t>
            </w:r>
          </w:p>
          <w:p>
            <w:pPr>
              <w:ind w:firstLine="0" w:firstLineChars="0"/>
              <w:jc w:val="left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2.每有1项指标不满足采购需求的（含未明确响应的），扣5分，扣完为止；</w:t>
            </w:r>
          </w:p>
          <w:p>
            <w:pPr>
              <w:ind w:firstLine="0" w:firstLineChars="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3.投标人未提供本项内容，或未对上述任何一项指标作出明确响应的，本项得0分</w:t>
            </w:r>
            <w:r>
              <w:rPr>
                <w:rFonts w:ascii="仿宋" w:hAnsi="仿宋" w:eastAsia="仿宋" w:cs="仿宋"/>
                <w:kern w:val="0"/>
              </w:rPr>
              <w:t>。</w:t>
            </w:r>
          </w:p>
        </w:tc>
      </w:tr>
      <w:tr>
        <w:tblPrEx>
          <w:tblBorders>
            <w:top w:val="outset" w:color="auto" w:sz="12" w:space="0"/>
            <w:left w:val="outset" w:color="auto" w:sz="12" w:space="0"/>
            <w:bottom w:val="outset" w:color="auto" w:sz="12" w:space="0"/>
            <w:right w:val="outset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</w:trPr>
        <w:tc>
          <w:tcPr>
            <w:tcW w:w="14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lang w:val="en-GB"/>
              </w:rPr>
              <w:t>项目进度计划和保障措施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</w:t>
            </w:r>
            <w:r>
              <w:rPr>
                <w:rFonts w:hint="eastAsia" w:ascii="仿宋" w:hAnsi="仿宋" w:eastAsia="仿宋" w:cs="仿宋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</w:rPr>
              <w:t>分）</w:t>
            </w:r>
          </w:p>
        </w:tc>
        <w:tc>
          <w:tcPr>
            <w:tcW w:w="69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对项目</w:t>
            </w:r>
            <w:r>
              <w:rPr>
                <w:rFonts w:ascii="仿宋" w:hAnsi="仿宋" w:eastAsia="仿宋" w:cs="仿宋"/>
                <w:lang w:val="en-GB"/>
              </w:rPr>
              <w:t>进度计划和保障措施</w:t>
            </w:r>
            <w:r>
              <w:rPr>
                <w:rFonts w:hint="eastAsia" w:ascii="仿宋" w:hAnsi="仿宋" w:eastAsia="仿宋" w:cs="仿宋"/>
                <w:kern w:val="0"/>
              </w:rPr>
              <w:t>（包括但不限于①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团队组织</w:t>
            </w:r>
            <w:r>
              <w:rPr>
                <w:rFonts w:hint="eastAsia" w:ascii="仿宋" w:hAnsi="仿宋" w:eastAsia="仿宋" w:cs="仿宋"/>
                <w:kern w:val="0"/>
              </w:rPr>
              <w:t>与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沟通机制</w:t>
            </w:r>
            <w:r>
              <w:rPr>
                <w:rFonts w:hint="eastAsia" w:ascii="仿宋" w:hAnsi="仿宋" w:eastAsia="仿宋" w:cs="仿宋"/>
                <w:kern w:val="0"/>
              </w:rPr>
              <w:t>；②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项目实施计划及进度把控措施</w:t>
            </w:r>
            <w:r>
              <w:rPr>
                <w:rFonts w:hint="eastAsia" w:ascii="仿宋" w:hAnsi="仿宋" w:eastAsia="仿宋" w:cs="仿宋"/>
                <w:kern w:val="0"/>
              </w:rPr>
              <w:t>；③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全过程</w:t>
            </w:r>
            <w:r>
              <w:rPr>
                <w:rFonts w:hint="eastAsia" w:ascii="仿宋" w:hAnsi="仿宋" w:eastAsia="仿宋" w:cs="仿宋"/>
                <w:kern w:val="0"/>
              </w:rPr>
              <w:t>质量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保障措施</w:t>
            </w:r>
            <w:r>
              <w:rPr>
                <w:rFonts w:hint="eastAsia" w:ascii="仿宋" w:hAnsi="仿宋" w:eastAsia="仿宋" w:cs="仿宋"/>
                <w:kern w:val="0"/>
              </w:rPr>
              <w:t>；④风险管理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和</w:t>
            </w:r>
            <w:r>
              <w:rPr>
                <w:rFonts w:hint="eastAsia" w:ascii="仿宋" w:hAnsi="仿宋" w:eastAsia="仿宋" w:cs="仿宋"/>
                <w:kern w:val="0"/>
              </w:rPr>
              <w:t>应急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服务措施</w:t>
            </w:r>
            <w:r>
              <w:rPr>
                <w:rFonts w:hint="eastAsia" w:ascii="仿宋" w:hAnsi="仿宋" w:eastAsia="仿宋" w:cs="仿宋"/>
                <w:kern w:val="0"/>
              </w:rPr>
              <w:t xml:space="preserve">等内容）进行综合评价。 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1.投标人所投标书响应上述全部指标（共4项），且完全满足或优于采购需求的，得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kern w:val="0"/>
              </w:rPr>
              <w:t>分；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hint="eastAsia"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2.每有1项指标不满足采购需求的（含未明确响应的），扣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.5</w:t>
            </w:r>
            <w:r>
              <w:rPr>
                <w:rFonts w:hint="eastAsia" w:ascii="仿宋" w:hAnsi="仿宋" w:eastAsia="仿宋" w:cs="仿宋"/>
                <w:kern w:val="0"/>
              </w:rPr>
              <w:t>分，扣完为止；</w:t>
            </w:r>
          </w:p>
          <w:p>
            <w:pPr>
              <w:tabs>
                <w:tab w:val="left" w:pos="972"/>
              </w:tabs>
              <w:ind w:firstLine="0" w:firstLineChars="0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3.投标人未提供本项内容，或未对上述任何一项指标作出明确响应的，本项得0分</w:t>
            </w:r>
            <w:r>
              <w:rPr>
                <w:rFonts w:ascii="仿宋" w:hAnsi="仿宋" w:eastAsia="仿宋" w:cs="仿宋"/>
                <w:kern w:val="0"/>
              </w:rPr>
              <w:t>。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</w:pPr>
    </w:p>
    <w:p>
      <w:pPr>
        <w:pStyle w:val="2"/>
        <w:numPr>
          <w:ilvl w:val="0"/>
          <w:numId w:val="0"/>
        </w:numPr>
        <w:spacing w:before="100" w:after="0" w:line="360" w:lineRule="auto"/>
        <w:jc w:val="center"/>
        <w:rPr>
          <w:rStyle w:val="12"/>
          <w:rFonts w:ascii="仿宋" w:hAnsi="仿宋" w:eastAsia="仿宋" w:cs="仿宋"/>
          <w:sz w:val="30"/>
          <w:szCs w:val="30"/>
        </w:rPr>
      </w:pPr>
      <w:bookmarkStart w:id="19" w:name="_Toc13335"/>
      <w:bookmarkStart w:id="20" w:name="_Toc9990"/>
      <w:bookmarkStart w:id="21" w:name="_Toc6762"/>
      <w:bookmarkStart w:id="22" w:name="_Toc31977"/>
      <w:bookmarkStart w:id="23" w:name="_Toc24803"/>
      <w:bookmarkStart w:id="24" w:name="_Toc83237337"/>
      <w:bookmarkStart w:id="25" w:name="_Toc18227"/>
      <w:bookmarkStart w:id="26" w:name="_Toc6295"/>
      <w:bookmarkStart w:id="27" w:name="_Toc70015596"/>
      <w:bookmarkStart w:id="28" w:name="_Toc6949"/>
      <w:bookmarkStart w:id="29" w:name="_Toc10477"/>
      <w:bookmarkStart w:id="30" w:name="_Toc19991"/>
      <w:bookmarkStart w:id="31" w:name="_Toc20680"/>
      <w:bookmarkStart w:id="32" w:name="_Toc18905"/>
      <w:bookmarkStart w:id="33" w:name="_Toc6884"/>
      <w:bookmarkStart w:id="34" w:name="_Toc12535"/>
      <w:bookmarkStart w:id="35" w:name="_Toc14226"/>
      <w:bookmarkStart w:id="36" w:name="_Toc7274"/>
      <w:bookmarkStart w:id="37" w:name="_Toc26961"/>
      <w:bookmarkStart w:id="38" w:name="_Toc11225"/>
      <w:bookmarkStart w:id="39" w:name="_Toc1466"/>
      <w:bookmarkStart w:id="40" w:name="_Toc8009"/>
      <w:bookmarkStart w:id="41" w:name="_Toc12039"/>
      <w:bookmarkStart w:id="42" w:name="_Toc15463"/>
      <w:bookmarkStart w:id="43" w:name="_Toc21325"/>
      <w:r>
        <w:rPr>
          <w:rStyle w:val="12"/>
          <w:rFonts w:hint="eastAsia" w:ascii="仿宋" w:hAnsi="仿宋" w:eastAsia="仿宋" w:cs="仿宋"/>
          <w:sz w:val="30"/>
          <w:szCs w:val="30"/>
        </w:rPr>
        <w:t>商务评分细则（</w:t>
      </w:r>
      <w:r>
        <w:rPr>
          <w:rStyle w:val="12"/>
          <w:rFonts w:hint="eastAsia" w:ascii="仿宋" w:hAnsi="仿宋" w:eastAsia="仿宋" w:cs="仿宋"/>
          <w:sz w:val="30"/>
          <w:szCs w:val="30"/>
          <w:lang w:val="en-US" w:eastAsia="zh-CN"/>
        </w:rPr>
        <w:t>30</w:t>
      </w:r>
      <w:r>
        <w:rPr>
          <w:rStyle w:val="12"/>
          <w:rFonts w:hint="eastAsia" w:ascii="仿宋" w:hAnsi="仿宋" w:eastAsia="仿宋" w:cs="仿宋"/>
          <w:sz w:val="30"/>
          <w:szCs w:val="30"/>
        </w:rPr>
        <w:t>分）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tbl>
      <w:tblPr>
        <w:tblStyle w:val="9"/>
        <w:tblW w:w="0" w:type="auto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6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7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评审内容</w:t>
            </w:r>
          </w:p>
        </w:tc>
        <w:tc>
          <w:tcPr>
            <w:tcW w:w="6895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评分细则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9" w:hRule="atLeast"/>
        </w:trPr>
        <w:tc>
          <w:tcPr>
            <w:tcW w:w="1470" w:type="dxa"/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业绩经验</w:t>
            </w:r>
          </w:p>
          <w:p>
            <w:pPr>
              <w:ind w:firstLine="0" w:firstLineChars="0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（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highlight w:val="none"/>
                <w:lang w:val="en-US"/>
              </w:rPr>
              <w:t>0</w:t>
            </w:r>
            <w:r>
              <w:rPr>
                <w:rFonts w:hint="eastAsia" w:ascii="仿宋" w:hAnsi="仿宋" w:eastAsia="仿宋" w:cs="仿宋"/>
                <w:highlight w:val="none"/>
              </w:rPr>
              <w:t>分）</w:t>
            </w:r>
          </w:p>
        </w:tc>
        <w:tc>
          <w:tcPr>
            <w:tcW w:w="6895" w:type="dxa"/>
            <w:vAlign w:val="center"/>
          </w:tcPr>
          <w:p>
            <w:pPr>
              <w:tabs>
                <w:tab w:val="left" w:pos="972"/>
                <w:tab w:val="left" w:pos="3600"/>
              </w:tabs>
              <w:ind w:firstLine="0" w:firstLineChars="0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  <w:u w:val="none"/>
                <w:lang w:eastAsia="zh-CN"/>
              </w:rPr>
              <w:t>投标人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承接过</w:t>
            </w:r>
            <w:r>
              <w:rPr>
                <w:rFonts w:hint="eastAsia" w:ascii="仿宋" w:hAnsi="仿宋" w:eastAsia="仿宋" w:cs="仿宋"/>
                <w:kern w:val="0"/>
                <w:u w:val="none"/>
                <w:lang w:eastAsia="zh-CN"/>
              </w:rPr>
              <w:t>碳普惠相关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项目</w:t>
            </w:r>
            <w:r>
              <w:rPr>
                <w:rFonts w:hint="eastAsia" w:ascii="仿宋" w:hAnsi="仿宋" w:eastAsia="仿宋" w:cs="仿宋"/>
                <w:kern w:val="0"/>
                <w:u w:val="none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kern w:val="0"/>
                <w:u w:val="none"/>
              </w:rPr>
              <w:t>开展过低碳宣传推广活动</w:t>
            </w:r>
            <w:bookmarkStart w:id="69" w:name="_GoBack"/>
            <w:bookmarkEnd w:id="69"/>
            <w:r>
              <w:rPr>
                <w:rFonts w:hint="default" w:ascii="仿宋" w:hAnsi="仿宋" w:eastAsia="仿宋" w:cs="仿宋"/>
                <w:kern w:val="0"/>
                <w:u w:val="none"/>
              </w:rPr>
              <w:t>，每一份业绩得5分，本项满分</w:t>
            </w:r>
            <w:r>
              <w:rPr>
                <w:rFonts w:hint="eastAsia" w:ascii="仿宋" w:hAnsi="仿宋" w:eastAsia="仿宋" w:cs="仿宋"/>
                <w:kern w:val="0"/>
                <w:u w:val="none"/>
                <w:lang w:val="en-US" w:eastAsia="zh-CN"/>
              </w:rPr>
              <w:t>2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0 分。</w:t>
            </w:r>
          </w:p>
          <w:p>
            <w:pPr>
              <w:tabs>
                <w:tab w:val="left" w:pos="972"/>
                <w:tab w:val="left" w:pos="3600"/>
              </w:tabs>
              <w:ind w:firstLine="0" w:firstLineChars="0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注：投标文件中须提供项目合同全件复印件，或者合同关键页复印件（合同关键页应当体现合同当事人名称（甲乙双方名称，其中任意一人名称应当与投标人一致）、合同内容、合同签章处及合同签订时间等关键信息）以上复印件均需加盖投标人公章，未提供或提供的资料不符合要求的则不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470" w:type="dxa"/>
            <w:tcBorders>
              <w:bottom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仿宋" w:hAnsi="仿宋" w:eastAsia="仿宋" w:cs="仿宋"/>
                <w:highlight w:val="none"/>
              </w:rPr>
            </w:pPr>
            <w:r>
              <w:rPr>
                <w:rFonts w:hint="eastAsia" w:ascii="仿宋" w:hAnsi="仿宋" w:eastAsia="仿宋" w:cs="仿宋"/>
                <w:highlight w:val="none"/>
              </w:rPr>
              <w:t>拟投入本项目的项目组实力（</w:t>
            </w:r>
            <w:r>
              <w:rPr>
                <w:rFonts w:hint="default" w:ascii="仿宋" w:hAnsi="仿宋" w:eastAsia="仿宋" w:cs="仿宋"/>
                <w:highlight w:val="none"/>
                <w:lang w:val="en-US"/>
              </w:rPr>
              <w:t>1</w:t>
            </w: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highlight w:val="none"/>
              </w:rPr>
              <w:t>分）</w:t>
            </w:r>
          </w:p>
        </w:tc>
        <w:tc>
          <w:tcPr>
            <w:tcW w:w="6895" w:type="dxa"/>
            <w:tcBorders>
              <w:bottom w:val="single" w:color="auto" w:sz="4" w:space="0"/>
            </w:tcBorders>
            <w:vAlign w:val="top"/>
          </w:tcPr>
          <w:p>
            <w:pPr>
              <w:tabs>
                <w:tab w:val="left" w:pos="972"/>
                <w:tab w:val="left" w:pos="3600"/>
              </w:tabs>
              <w:ind w:firstLine="0" w:firstLineChars="0"/>
              <w:jc w:val="left"/>
              <w:rPr>
                <w:rFonts w:ascii="仿宋" w:hAnsi="仿宋" w:eastAsia="仿宋" w:cs="仿宋"/>
                <w:kern w:val="0"/>
              </w:rPr>
            </w:pPr>
          </w:p>
          <w:p>
            <w:pPr>
              <w:tabs>
                <w:tab w:val="left" w:pos="972"/>
                <w:tab w:val="left" w:pos="3600"/>
              </w:tabs>
              <w:ind w:firstLine="0" w:firstLineChars="0"/>
              <w:jc w:val="left"/>
              <w:rPr>
                <w:rFonts w:hint="default" w:ascii="仿宋" w:hAnsi="仿宋" w:eastAsia="仿宋" w:cs="仿宋"/>
                <w:kern w:val="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u w:val="none"/>
                <w:lang w:eastAsia="zh-CN"/>
              </w:rPr>
              <w:t>投标人</w:t>
            </w:r>
            <w:r>
              <w:rPr>
                <w:rFonts w:ascii="仿宋" w:hAnsi="仿宋" w:eastAsia="仿宋" w:cs="仿宋"/>
                <w:kern w:val="0"/>
                <w:u w:val="none"/>
              </w:rPr>
              <w:t>拟配备团队人员中，具有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正高</w:t>
            </w:r>
            <w:r>
              <w:rPr>
                <w:rFonts w:hint="default" w:ascii="仿宋" w:hAnsi="仿宋" w:eastAsia="仿宋" w:cs="仿宋"/>
                <w:kern w:val="0"/>
                <w:u w:val="none"/>
                <w:lang w:val="en-US" w:eastAsia="zh-CN"/>
              </w:rPr>
              <w:t>或副高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级职称</w:t>
            </w:r>
            <w:r>
              <w:rPr>
                <w:rFonts w:hint="eastAsia" w:ascii="仿宋" w:hAnsi="仿宋" w:eastAsia="仿宋" w:cs="仿宋"/>
                <w:kern w:val="0"/>
                <w:u w:val="none"/>
                <w:lang w:eastAsia="zh-CN"/>
              </w:rPr>
              <w:t>或博士学位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的每人得</w:t>
            </w:r>
            <w:r>
              <w:rPr>
                <w:rFonts w:hint="eastAsia" w:ascii="仿宋" w:hAnsi="仿宋" w:eastAsia="仿宋" w:cs="仿宋"/>
                <w:kern w:val="0"/>
                <w:u w:val="none"/>
                <w:lang w:val="en-US" w:eastAsia="zh-CN"/>
              </w:rPr>
              <w:t>3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分，中级职称的每人得</w:t>
            </w:r>
            <w:r>
              <w:rPr>
                <w:rFonts w:hint="eastAsia" w:ascii="仿宋" w:hAnsi="仿宋" w:eastAsia="仿宋" w:cs="仿宋"/>
                <w:kern w:val="0"/>
                <w:u w:val="none"/>
                <w:lang w:val="en-US" w:eastAsia="zh-CN"/>
              </w:rPr>
              <w:t>1</w:t>
            </w:r>
            <w:r>
              <w:rPr>
                <w:rFonts w:hint="default" w:ascii="仿宋" w:hAnsi="仿宋" w:eastAsia="仿宋" w:cs="仿宋"/>
                <w:kern w:val="0"/>
                <w:u w:val="none"/>
              </w:rPr>
              <w:t>分</w:t>
            </w:r>
            <w:r>
              <w:rPr>
                <w:rFonts w:hint="default" w:ascii="仿宋" w:hAnsi="仿宋" w:eastAsia="仿宋" w:cs="仿宋"/>
                <w:kern w:val="0"/>
                <w:u w:val="none"/>
                <w:lang w:eastAsia="zh-CN"/>
              </w:rPr>
              <w:t>，</w:t>
            </w:r>
            <w:r>
              <w:rPr>
                <w:rFonts w:ascii="仿宋" w:hAnsi="仿宋" w:eastAsia="仿宋" w:cs="仿宋"/>
                <w:kern w:val="0"/>
                <w:u w:val="none"/>
              </w:rPr>
              <w:t>本项合计最高得</w:t>
            </w:r>
            <w:r>
              <w:rPr>
                <w:rFonts w:hint="eastAsia" w:ascii="仿宋" w:hAnsi="仿宋" w:eastAsia="仿宋" w:cs="仿宋"/>
                <w:kern w:val="0"/>
                <w:u w:val="none"/>
                <w:lang w:val="en-US" w:eastAsia="zh-CN"/>
              </w:rPr>
              <w:t>10</w:t>
            </w:r>
            <w:r>
              <w:rPr>
                <w:rFonts w:ascii="仿宋" w:hAnsi="仿宋" w:eastAsia="仿宋" w:cs="仿宋"/>
                <w:kern w:val="0"/>
                <w:u w:val="none"/>
              </w:rPr>
              <w:t>分</w:t>
            </w:r>
            <w:r>
              <w:rPr>
                <w:rFonts w:hint="default" w:ascii="仿宋" w:hAnsi="仿宋" w:eastAsia="仿宋" w:cs="仿宋"/>
                <w:kern w:val="0"/>
                <w:u w:val="none"/>
                <w:lang w:eastAsia="zh-CN"/>
              </w:rPr>
              <w:t>。</w:t>
            </w:r>
          </w:p>
          <w:p>
            <w:pPr>
              <w:tabs>
                <w:tab w:val="left" w:pos="972"/>
                <w:tab w:val="left" w:pos="3600"/>
              </w:tabs>
              <w:ind w:firstLine="0" w:firstLineChars="0"/>
              <w:jc w:val="left"/>
              <w:rPr>
                <w:rFonts w:hint="default" w:ascii="仿宋" w:hAnsi="仿宋" w:eastAsia="仿宋" w:cs="仿宋"/>
                <w:kern w:val="0"/>
                <w:u w:val="none"/>
              </w:rPr>
            </w:pPr>
            <w:r>
              <w:rPr>
                <w:rFonts w:hint="default" w:ascii="仿宋" w:hAnsi="仿宋" w:eastAsia="仿宋" w:cs="仿宋"/>
                <w:kern w:val="0"/>
                <w:u w:val="none"/>
              </w:rPr>
              <w:t>注：</w:t>
            </w:r>
            <w:r>
              <w:rPr>
                <w:rFonts w:hint="eastAsia" w:ascii="仿宋" w:hAnsi="仿宋" w:eastAsia="仿宋" w:cs="仿宋"/>
                <w:kern w:val="0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u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u w:val="none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  <w:u w:val="none"/>
              </w:rPr>
              <w:t>投标文件中需同时提供上述人员信息列表、以上涉及证书复印件并加盖投标人公章，以及投标人在投标截止前三个月中任意一个月（投标截止当月不计）为上述人员购买的社保证明材料（加盖社保机构公章或者电子印章），或者有效的劳动合同复印件并加盖投标人公章，未提供或者提供的资料不符合要求的不得分</w:t>
            </w:r>
            <w:r>
              <w:rPr>
                <w:rFonts w:hint="eastAsia" w:ascii="仿宋" w:hAnsi="仿宋" w:eastAsia="仿宋" w:cs="仿宋"/>
                <w:kern w:val="0"/>
                <w:u w:val="none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kern w:val="0"/>
              </w:rPr>
              <w:t>同一人拿多个证书，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按最大得分计，</w:t>
            </w:r>
            <w:r>
              <w:rPr>
                <w:rFonts w:hint="eastAsia" w:ascii="仿宋" w:hAnsi="仿宋" w:eastAsia="仿宋" w:cs="仿宋"/>
                <w:kern w:val="0"/>
              </w:rPr>
              <w:t>不重复得分</w:t>
            </w:r>
            <w:r>
              <w:rPr>
                <w:rFonts w:hint="eastAsia" w:ascii="仿宋" w:hAnsi="仿宋" w:eastAsia="仿宋" w:cs="仿宋"/>
                <w:kern w:val="0"/>
                <w:lang w:eastAsia="zh-CN"/>
              </w:rPr>
              <w:t>。</w:t>
            </w:r>
          </w:p>
          <w:p>
            <w:pPr>
              <w:tabs>
                <w:tab w:val="left" w:pos="972"/>
                <w:tab w:val="left" w:pos="3600"/>
              </w:tabs>
              <w:ind w:firstLine="0" w:firstLineChars="0"/>
              <w:jc w:val="left"/>
              <w:rPr>
                <w:rFonts w:ascii="仿宋" w:hAnsi="仿宋" w:eastAsia="仿宋" w:cs="仿宋"/>
                <w:kern w:val="0"/>
              </w:rPr>
            </w:pPr>
          </w:p>
        </w:tc>
      </w:tr>
    </w:tbl>
    <w:p>
      <w:pPr>
        <w:pStyle w:val="8"/>
        <w:ind w:firstLine="0" w:firstLineChars="0"/>
        <w:rPr>
          <w:rFonts w:ascii="仿宋" w:hAnsi="仿宋" w:eastAsia="仿宋" w:cs="仿宋"/>
        </w:rPr>
      </w:pPr>
    </w:p>
    <w:p>
      <w:pPr>
        <w:pStyle w:val="2"/>
        <w:numPr>
          <w:ilvl w:val="0"/>
          <w:numId w:val="0"/>
        </w:numPr>
        <w:spacing w:before="100" w:after="0" w:line="360" w:lineRule="auto"/>
        <w:jc w:val="center"/>
        <w:rPr>
          <w:rStyle w:val="12"/>
          <w:rFonts w:ascii="仿宋" w:hAnsi="仿宋" w:eastAsia="仿宋" w:cs="仿宋"/>
          <w:sz w:val="30"/>
          <w:szCs w:val="30"/>
        </w:rPr>
      </w:pPr>
      <w:bookmarkStart w:id="44" w:name="_Toc5395"/>
      <w:bookmarkStart w:id="45" w:name="_Toc20472"/>
      <w:bookmarkStart w:id="46" w:name="_Toc13953"/>
      <w:bookmarkStart w:id="47" w:name="_Toc31423"/>
      <w:bookmarkStart w:id="48" w:name="_Toc3494"/>
      <w:bookmarkStart w:id="49" w:name="_Toc27096"/>
      <w:bookmarkStart w:id="50" w:name="_Toc83237338"/>
      <w:bookmarkStart w:id="51" w:name="_Toc3247"/>
      <w:bookmarkStart w:id="52" w:name="_Toc1367"/>
      <w:bookmarkStart w:id="53" w:name="_Toc25899"/>
      <w:bookmarkStart w:id="54" w:name="_Toc3595"/>
      <w:bookmarkStart w:id="55" w:name="_Toc32034"/>
      <w:bookmarkStart w:id="56" w:name="_Toc7019"/>
      <w:bookmarkStart w:id="57" w:name="_Toc22870"/>
      <w:bookmarkStart w:id="58" w:name="_Toc70015597"/>
      <w:bookmarkStart w:id="59" w:name="_Toc23623"/>
      <w:bookmarkStart w:id="60" w:name="_Toc30914"/>
      <w:bookmarkStart w:id="61" w:name="_Toc7833"/>
      <w:bookmarkStart w:id="62" w:name="_Toc6515"/>
      <w:bookmarkStart w:id="63" w:name="_Toc4194"/>
      <w:bookmarkStart w:id="64" w:name="_Toc812"/>
      <w:bookmarkStart w:id="65" w:name="_Toc4946"/>
      <w:bookmarkStart w:id="66" w:name="_Toc30126"/>
      <w:bookmarkStart w:id="67" w:name="_Toc19934"/>
      <w:bookmarkStart w:id="68" w:name="_Toc9109"/>
      <w:r>
        <w:rPr>
          <w:rStyle w:val="12"/>
          <w:rFonts w:hint="eastAsia" w:ascii="仿宋" w:hAnsi="仿宋" w:eastAsia="仿宋" w:cs="仿宋"/>
          <w:sz w:val="30"/>
          <w:szCs w:val="30"/>
        </w:rPr>
        <w:t>经济价格评分细则（</w:t>
      </w:r>
      <w:r>
        <w:rPr>
          <w:rStyle w:val="12"/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Style w:val="12"/>
          <w:rFonts w:hint="eastAsia" w:ascii="仿宋" w:hAnsi="仿宋" w:eastAsia="仿宋" w:cs="仿宋"/>
          <w:sz w:val="30"/>
          <w:szCs w:val="30"/>
        </w:rPr>
        <w:t>0分）</w:t>
      </w:r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tbl>
      <w:tblPr>
        <w:tblStyle w:val="10"/>
        <w:tblW w:w="0" w:type="auto"/>
        <w:tblInd w:w="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68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Align w:val="center"/>
          </w:tcPr>
          <w:p>
            <w:pPr>
              <w:pStyle w:val="13"/>
              <w:tabs>
                <w:tab w:val="left" w:pos="332"/>
              </w:tabs>
              <w:snapToGrid w:val="0"/>
              <w:ind w:firstLine="0" w:firstLineChars="0"/>
              <w:jc w:val="center"/>
              <w:rPr>
                <w:rStyle w:val="12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  <w:t>评审内容</w:t>
            </w:r>
          </w:p>
        </w:tc>
        <w:tc>
          <w:tcPr>
            <w:tcW w:w="6870" w:type="dxa"/>
            <w:vAlign w:val="center"/>
          </w:tcPr>
          <w:p>
            <w:pPr>
              <w:pStyle w:val="13"/>
              <w:tabs>
                <w:tab w:val="left" w:pos="332"/>
              </w:tabs>
              <w:snapToGrid w:val="0"/>
              <w:ind w:firstLine="0" w:firstLineChars="0"/>
              <w:jc w:val="center"/>
              <w:rPr>
                <w:rStyle w:val="12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  <w:t>评分细则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5" w:type="dxa"/>
            <w:vAlign w:val="center"/>
          </w:tcPr>
          <w:p>
            <w:pPr>
              <w:pStyle w:val="13"/>
              <w:tabs>
                <w:tab w:val="left" w:pos="332"/>
              </w:tabs>
              <w:snapToGrid w:val="0"/>
              <w:ind w:firstLine="0" w:firstLineChars="0"/>
              <w:jc w:val="center"/>
              <w:rPr>
                <w:rStyle w:val="12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</w:pPr>
            <w:r>
              <w:rPr>
                <w:rStyle w:val="12"/>
                <w:rFonts w:hint="eastAsia" w:ascii="仿宋" w:hAnsi="仿宋" w:eastAsia="仿宋" w:cs="仿宋"/>
                <w:bCs/>
                <w:szCs w:val="24"/>
                <w:vertAlign w:val="baseline"/>
                <w:lang w:val="en-US" w:eastAsia="zh-CN"/>
              </w:rPr>
              <w:t>经济价格（20分）</w:t>
            </w:r>
          </w:p>
        </w:tc>
        <w:tc>
          <w:tcPr>
            <w:tcW w:w="6870" w:type="dxa"/>
          </w:tcPr>
          <w:p>
            <w:pPr>
              <w:pStyle w:val="13"/>
              <w:tabs>
                <w:tab w:val="left" w:pos="332"/>
              </w:tabs>
              <w:snapToGrid w:val="0"/>
              <w:ind w:firstLine="0" w:firstLineChars="0"/>
              <w:rPr>
                <w:rStyle w:val="12"/>
                <w:rFonts w:ascii="仿宋" w:hAnsi="仿宋" w:eastAsia="仿宋" w:cs="仿宋"/>
                <w:bCs/>
                <w:szCs w:val="24"/>
              </w:rPr>
            </w:pPr>
            <w:r>
              <w:rPr>
                <w:rStyle w:val="12"/>
                <w:rFonts w:hint="eastAsia" w:ascii="仿宋" w:hAnsi="仿宋" w:eastAsia="仿宋" w:cs="仿宋"/>
                <w:bCs/>
                <w:szCs w:val="24"/>
              </w:rPr>
              <w:t>各投标人的投标报价得分按以下公式进行计算：</w:t>
            </w:r>
          </w:p>
          <w:p>
            <w:pPr>
              <w:pStyle w:val="13"/>
              <w:tabs>
                <w:tab w:val="left" w:pos="332"/>
              </w:tabs>
              <w:snapToGrid w:val="0"/>
              <w:ind w:firstLine="0" w:firstLineChars="0"/>
            </w:pPr>
            <w:r>
              <w:rPr>
                <w:rStyle w:val="12"/>
                <w:rFonts w:hint="eastAsia" w:ascii="仿宋" w:hAnsi="仿宋" w:eastAsia="仿宋" w:cs="仿宋"/>
                <w:bCs/>
                <w:szCs w:val="24"/>
              </w:rPr>
              <w:t>投标报价得分=(评标基准价/评标价)×</w:t>
            </w:r>
            <w:r>
              <w:rPr>
                <w:rStyle w:val="12"/>
                <w:rFonts w:hint="eastAsia" w:ascii="仿宋" w:hAnsi="仿宋" w:eastAsia="仿宋" w:cs="仿宋"/>
                <w:bCs/>
                <w:szCs w:val="24"/>
                <w:lang w:val="en-US" w:eastAsia="zh-CN"/>
              </w:rPr>
              <w:t>2</w:t>
            </w:r>
            <w:r>
              <w:rPr>
                <w:rStyle w:val="12"/>
                <w:rFonts w:hint="eastAsia" w:ascii="仿宋" w:hAnsi="仿宋" w:eastAsia="仿宋" w:cs="仿宋"/>
                <w:bCs/>
                <w:szCs w:val="24"/>
              </w:rPr>
              <w:t>0%×100</w:t>
            </w:r>
          </w:p>
          <w:p>
            <w:pPr>
              <w:pStyle w:val="13"/>
              <w:tabs>
                <w:tab w:val="left" w:pos="332"/>
              </w:tabs>
              <w:snapToGrid w:val="0"/>
              <w:ind w:firstLine="0" w:firstLineChars="0"/>
              <w:rPr>
                <w:rStyle w:val="12"/>
                <w:rFonts w:hint="eastAsia" w:ascii="仿宋" w:hAnsi="仿宋" w:eastAsia="仿宋" w:cs="仿宋"/>
                <w:bCs/>
                <w:szCs w:val="24"/>
                <w:vertAlign w:val="baseline"/>
              </w:rPr>
            </w:pPr>
            <w:r>
              <w:rPr>
                <w:rStyle w:val="12"/>
                <w:rFonts w:hint="eastAsia" w:ascii="仿宋" w:hAnsi="仿宋" w:eastAsia="仿宋" w:cs="仿宋"/>
                <w:bCs/>
                <w:szCs w:val="24"/>
                <w:vertAlign w:val="baseline"/>
              </w:rPr>
              <w:t>上述公式中的“评标基准价”为满足项目需求书要求的最低评标价，其价格得分为满分。上述公式中的“评标价”为在报价基础上作算术修正后的价格，无算术修正情况下，报价即为评标价。</w:t>
            </w:r>
          </w:p>
        </w:tc>
      </w:tr>
    </w:tbl>
    <w:p>
      <w:pPr>
        <w:pStyle w:val="13"/>
        <w:tabs>
          <w:tab w:val="left" w:pos="332"/>
        </w:tabs>
        <w:snapToGrid w:val="0"/>
        <w:ind w:firstLine="48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9D4A3F"/>
    <w:multiLevelType w:val="multilevel"/>
    <w:tmpl w:val="3E9D4A3F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2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jZjk1NjVjMWU5OTk0ZDRhOTRhMWRmZGMyY2I5MjAifQ=="/>
  </w:docVars>
  <w:rsids>
    <w:rsidRoot w:val="00783AED"/>
    <w:rsid w:val="00045F71"/>
    <w:rsid w:val="0006119C"/>
    <w:rsid w:val="00080D9D"/>
    <w:rsid w:val="000F4777"/>
    <w:rsid w:val="001010F7"/>
    <w:rsid w:val="00124D04"/>
    <w:rsid w:val="0016387E"/>
    <w:rsid w:val="001D4843"/>
    <w:rsid w:val="001E3956"/>
    <w:rsid w:val="001E7DD5"/>
    <w:rsid w:val="00207959"/>
    <w:rsid w:val="00267C62"/>
    <w:rsid w:val="002A7488"/>
    <w:rsid w:val="002C0A25"/>
    <w:rsid w:val="00305FDE"/>
    <w:rsid w:val="00347C7B"/>
    <w:rsid w:val="00352E23"/>
    <w:rsid w:val="00381D51"/>
    <w:rsid w:val="003D26D8"/>
    <w:rsid w:val="00433C2E"/>
    <w:rsid w:val="00541AE5"/>
    <w:rsid w:val="00556CF5"/>
    <w:rsid w:val="006105DC"/>
    <w:rsid w:val="006544AA"/>
    <w:rsid w:val="006A7E37"/>
    <w:rsid w:val="006B386E"/>
    <w:rsid w:val="006C5801"/>
    <w:rsid w:val="006D210D"/>
    <w:rsid w:val="007255C9"/>
    <w:rsid w:val="00751194"/>
    <w:rsid w:val="00783AED"/>
    <w:rsid w:val="00787536"/>
    <w:rsid w:val="007A293A"/>
    <w:rsid w:val="007D0BFF"/>
    <w:rsid w:val="007E1887"/>
    <w:rsid w:val="007E52DF"/>
    <w:rsid w:val="007E5745"/>
    <w:rsid w:val="007F2C01"/>
    <w:rsid w:val="007F7BF5"/>
    <w:rsid w:val="008731E7"/>
    <w:rsid w:val="008C4311"/>
    <w:rsid w:val="008F65A6"/>
    <w:rsid w:val="00936845"/>
    <w:rsid w:val="00962DED"/>
    <w:rsid w:val="00977D05"/>
    <w:rsid w:val="00993E8A"/>
    <w:rsid w:val="00A06BE9"/>
    <w:rsid w:val="00A10012"/>
    <w:rsid w:val="00A21B1B"/>
    <w:rsid w:val="00A416E2"/>
    <w:rsid w:val="00AF2A43"/>
    <w:rsid w:val="00B17BBB"/>
    <w:rsid w:val="00BD18C8"/>
    <w:rsid w:val="00BF48DE"/>
    <w:rsid w:val="00C415E9"/>
    <w:rsid w:val="00C7752B"/>
    <w:rsid w:val="00C85CE8"/>
    <w:rsid w:val="00CA117E"/>
    <w:rsid w:val="00D4055D"/>
    <w:rsid w:val="00D93F9D"/>
    <w:rsid w:val="00DA4FDA"/>
    <w:rsid w:val="00E54BE2"/>
    <w:rsid w:val="00F251E5"/>
    <w:rsid w:val="00F566E4"/>
    <w:rsid w:val="00FE19B3"/>
    <w:rsid w:val="00FE1F9B"/>
    <w:rsid w:val="01A35B5C"/>
    <w:rsid w:val="09EA0AA5"/>
    <w:rsid w:val="09FE6E56"/>
    <w:rsid w:val="0CCF5881"/>
    <w:rsid w:val="0D030E02"/>
    <w:rsid w:val="0EEE0C6B"/>
    <w:rsid w:val="100B407B"/>
    <w:rsid w:val="12F77C2B"/>
    <w:rsid w:val="1BCD48DA"/>
    <w:rsid w:val="265248D9"/>
    <w:rsid w:val="27F71C0E"/>
    <w:rsid w:val="313F51D5"/>
    <w:rsid w:val="36140EF6"/>
    <w:rsid w:val="3B4B68CB"/>
    <w:rsid w:val="3BB47A2E"/>
    <w:rsid w:val="3E405364"/>
    <w:rsid w:val="3FB6697C"/>
    <w:rsid w:val="418C2076"/>
    <w:rsid w:val="4A2033D0"/>
    <w:rsid w:val="4A581909"/>
    <w:rsid w:val="4B247B60"/>
    <w:rsid w:val="53FC00FE"/>
    <w:rsid w:val="5ED50937"/>
    <w:rsid w:val="5F324C29"/>
    <w:rsid w:val="67CD648C"/>
    <w:rsid w:val="680A69C3"/>
    <w:rsid w:val="687F4E68"/>
    <w:rsid w:val="69F760BD"/>
    <w:rsid w:val="6C243191"/>
    <w:rsid w:val="6D000D49"/>
    <w:rsid w:val="6DF01AF1"/>
    <w:rsid w:val="725B6C9D"/>
    <w:rsid w:val="72C22595"/>
    <w:rsid w:val="74C2448C"/>
    <w:rsid w:val="79AA0277"/>
    <w:rsid w:val="79CA35D6"/>
    <w:rsid w:val="7D591CA2"/>
    <w:rsid w:val="7D9C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1"/>
    <w:pPr>
      <w:keepNext/>
      <w:keepLines/>
      <w:numPr>
        <w:ilvl w:val="2"/>
        <w:numId w:val="1"/>
      </w:numPr>
      <w:spacing w:before="260" w:after="260" w:line="415" w:lineRule="auto"/>
      <w:ind w:firstLineChars="0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Body Text Indent 2"/>
    <w:basedOn w:val="1"/>
    <w:next w:val="1"/>
    <w:qFormat/>
    <w:uiPriority w:val="0"/>
    <w:pPr>
      <w:spacing w:line="480" w:lineRule="exact"/>
      <w:ind w:left="810" w:firstLine="675"/>
    </w:pPr>
    <w:rPr>
      <w:rFonts w:eastAsia="仿宋_GB2312"/>
      <w:sz w:val="30"/>
      <w:szCs w:val="20"/>
    </w:rPr>
  </w:style>
  <w:style w:type="paragraph" w:styleId="5">
    <w:name w:val="Balloon Text"/>
    <w:basedOn w:val="1"/>
    <w:link w:val="17"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Body Text First Indent"/>
    <w:basedOn w:val="3"/>
    <w:unhideWhenUsed/>
    <w:qFormat/>
    <w:uiPriority w:val="99"/>
    <w:pPr>
      <w:spacing w:line="240" w:lineRule="auto"/>
      <w:ind w:firstLine="420" w:firstLineChars="100"/>
    </w:pPr>
    <w:rPr>
      <w:rFonts w:ascii="Calibri" w:hAnsi="Calibri"/>
      <w:sz w:val="21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NormalCharacter"/>
    <w:qFormat/>
    <w:uiPriority w:val="0"/>
  </w:style>
  <w:style w:type="paragraph" w:customStyle="1" w:styleId="13">
    <w:name w:val="PlainText"/>
    <w:basedOn w:val="1"/>
    <w:qFormat/>
    <w:uiPriority w:val="0"/>
    <w:rPr>
      <w:rFonts w:ascii="宋体" w:hAnsi="Courier New"/>
      <w:szCs w:val="21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页眉 Char"/>
    <w:basedOn w:val="11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7">
    <w:name w:val="批注框文本 Char"/>
    <w:basedOn w:val="11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8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19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1123</Words>
  <Characters>1157</Characters>
  <Lines>7</Lines>
  <Paragraphs>2</Paragraphs>
  <TotalTime>1</TotalTime>
  <ScaleCrop>false</ScaleCrop>
  <LinksUpToDate>false</LinksUpToDate>
  <CharactersWithSpaces>1165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2024-02-05T04:36:00Z</dcterms:created>
  <dc:creator>Administrator</dc:creator>
  <cp:lastModifiedBy>陈旭磊</cp:lastModifiedBy>
  <cp:lastPrinted>2024-02-27T09:31:00Z</cp:lastPrinted>
  <dcterms:modified xsi:type="dcterms:W3CDTF">2026-07-22T02:34:18Z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0BBE601AB3A540F7BA4E7183EDB6B462</vt:lpwstr>
  </property>
</Properties>
</file>