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before="100" w:after="0" w:line="360" w:lineRule="auto"/>
        <w:jc w:val="both"/>
        <w:rPr>
          <w:rStyle w:val="13"/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Toc27635"/>
      <w:bookmarkStart w:id="1" w:name="_Toc25031"/>
      <w:bookmarkStart w:id="2" w:name="_Toc8800"/>
      <w:bookmarkStart w:id="3" w:name="_Toc24533"/>
      <w:bookmarkStart w:id="4" w:name="_Toc3580"/>
      <w:bookmarkStart w:id="5" w:name="_Toc28990"/>
      <w:bookmarkStart w:id="6" w:name="_Toc13465"/>
      <w:bookmarkStart w:id="7" w:name="_Toc5046"/>
      <w:bookmarkStart w:id="8" w:name="_Toc26778"/>
      <w:bookmarkStart w:id="9" w:name="_Toc70015595"/>
      <w:bookmarkStart w:id="10" w:name="_Toc29548"/>
      <w:bookmarkStart w:id="11" w:name="_Toc10390"/>
      <w:bookmarkStart w:id="12" w:name="_Toc83237336"/>
      <w:bookmarkStart w:id="13" w:name="_Toc3582"/>
      <w:bookmarkStart w:id="14" w:name="_Toc17796"/>
      <w:bookmarkStart w:id="15" w:name="_Toc6736"/>
      <w:bookmarkStart w:id="16" w:name="_Toc4342"/>
      <w:bookmarkStart w:id="17" w:name="_Toc25943"/>
      <w:bookmarkStart w:id="18" w:name="_Toc22648"/>
      <w:r>
        <w:rPr>
          <w:rStyle w:val="13"/>
          <w:rFonts w:hint="eastAsia" w:ascii="仿宋" w:hAnsi="仿宋" w:eastAsia="仿宋" w:cs="仿宋"/>
          <w:sz w:val="30"/>
          <w:szCs w:val="30"/>
        </w:rPr>
        <w:t>附件</w:t>
      </w:r>
      <w:r>
        <w:rPr>
          <w:rStyle w:val="13"/>
          <w:rFonts w:hint="eastAsia" w:ascii="仿宋" w:hAnsi="仿宋" w:eastAsia="仿宋" w:cs="仿宋"/>
          <w:sz w:val="30"/>
          <w:szCs w:val="30"/>
          <w:lang w:val="en-US" w:eastAsia="zh-CN"/>
        </w:rPr>
        <w:t>三</w:t>
      </w:r>
      <w:r>
        <w:rPr>
          <w:rStyle w:val="13"/>
          <w:rFonts w:hint="eastAsia" w:ascii="仿宋" w:hAnsi="仿宋" w:eastAsia="仿宋" w:cs="仿宋"/>
          <w:sz w:val="30"/>
          <w:szCs w:val="30"/>
        </w:rPr>
        <w:t>：</w:t>
      </w:r>
      <w:r>
        <w:rPr>
          <w:rStyle w:val="13"/>
          <w:rFonts w:hint="eastAsia" w:ascii="仿宋" w:hAnsi="仿宋" w:eastAsia="仿宋" w:cs="仿宋"/>
          <w:sz w:val="30"/>
          <w:szCs w:val="30"/>
          <w:lang w:val="en-US" w:eastAsia="zh-CN"/>
        </w:rPr>
        <w:t>评分细则</w:t>
      </w:r>
    </w:p>
    <w:tbl>
      <w:tblPr>
        <w:tblStyle w:val="11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6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分值构成</w:t>
            </w:r>
          </w:p>
        </w:tc>
        <w:tc>
          <w:tcPr>
            <w:tcW w:w="6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技术评分细则50分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商务评分细则30分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经济价格评分细则20分</w:t>
            </w:r>
          </w:p>
        </w:tc>
      </w:tr>
    </w:tbl>
    <w:p>
      <w:pPr>
        <w:pStyle w:val="2"/>
        <w:numPr>
          <w:ilvl w:val="0"/>
          <w:numId w:val="0"/>
        </w:numPr>
        <w:spacing w:before="100" w:after="0" w:line="360" w:lineRule="auto"/>
        <w:jc w:val="center"/>
        <w:rPr>
          <w:rStyle w:val="13"/>
          <w:rFonts w:ascii="仿宋" w:hAnsi="仿宋" w:eastAsia="仿宋" w:cs="仿宋"/>
          <w:sz w:val="24"/>
          <w:szCs w:val="24"/>
        </w:rPr>
      </w:pPr>
      <w:r>
        <w:rPr>
          <w:rStyle w:val="13"/>
          <w:rFonts w:hint="eastAsia" w:ascii="仿宋" w:hAnsi="仿宋" w:eastAsia="仿宋" w:cs="仿宋"/>
          <w:sz w:val="30"/>
          <w:szCs w:val="30"/>
        </w:rPr>
        <w:t>技术评分</w:t>
      </w:r>
      <w:r>
        <w:rPr>
          <w:rFonts w:hint="eastAsia" w:ascii="仿宋" w:hAnsi="仿宋" w:eastAsia="仿宋" w:cs="仿宋"/>
          <w:sz w:val="30"/>
          <w:szCs w:val="30"/>
        </w:rPr>
        <w:t>细则</w:t>
      </w:r>
      <w:r>
        <w:rPr>
          <w:rStyle w:val="13"/>
          <w:rFonts w:hint="eastAsia" w:ascii="仿宋" w:hAnsi="仿宋" w:eastAsia="仿宋" w:cs="仿宋"/>
          <w:sz w:val="30"/>
          <w:szCs w:val="30"/>
        </w:rPr>
        <w:t>（</w:t>
      </w:r>
      <w:r>
        <w:rPr>
          <w:rStyle w:val="13"/>
          <w:rFonts w:hint="eastAsia" w:ascii="仿宋" w:hAnsi="仿宋" w:eastAsia="仿宋" w:cs="仿宋"/>
          <w:sz w:val="30"/>
          <w:szCs w:val="30"/>
          <w:lang w:val="en-US" w:eastAsia="zh-CN"/>
        </w:rPr>
        <w:t>50</w:t>
      </w:r>
      <w:r>
        <w:rPr>
          <w:rStyle w:val="13"/>
          <w:rFonts w:hint="eastAsia" w:ascii="仿宋" w:hAnsi="仿宋" w:eastAsia="仿宋" w:cs="仿宋"/>
          <w:sz w:val="30"/>
          <w:szCs w:val="30"/>
        </w:rPr>
        <w:t>分）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tbl>
      <w:tblPr>
        <w:tblStyle w:val="10"/>
        <w:tblW w:w="8399" w:type="dxa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7"/>
        <w:gridCol w:w="6922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评审内容</w:t>
            </w:r>
          </w:p>
        </w:tc>
        <w:tc>
          <w:tcPr>
            <w:tcW w:w="6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评分细则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对本项目的理解程度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</w:rPr>
              <w:t>分）</w:t>
            </w:r>
          </w:p>
        </w:tc>
        <w:tc>
          <w:tcPr>
            <w:tcW w:w="6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对项目需求的理解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程度</w:t>
            </w:r>
            <w:bookmarkStart w:id="69" w:name="_GoBack"/>
            <w:bookmarkEnd w:id="69"/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</w:rPr>
              <w:t>包括但不限于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kern w:val="0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准确</w:t>
            </w:r>
            <w:r>
              <w:rPr>
                <w:rFonts w:hint="eastAsia" w:ascii="仿宋" w:hAnsi="仿宋" w:eastAsia="仿宋" w:cs="仿宋"/>
                <w:kern w:val="0"/>
              </w:rPr>
              <w:t>把握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项目背景与定位</w:t>
            </w:r>
            <w:r>
              <w:rPr>
                <w:rFonts w:hint="eastAsia" w:ascii="仿宋" w:hAnsi="仿宋" w:eastAsia="仿宋" w:cs="仿宋"/>
                <w:kern w:val="0"/>
              </w:rPr>
              <w:t>；②充分了解并分析项目现状,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深刻</w:t>
            </w:r>
            <w:r>
              <w:rPr>
                <w:rFonts w:hint="eastAsia" w:ascii="仿宋" w:hAnsi="仿宋" w:eastAsia="仿宋" w:cs="仿宋"/>
                <w:kern w:val="0"/>
              </w:rPr>
              <w:t>理解该项目服务要求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</w:rPr>
              <w:t>③根据项目需求书提出项目重点、难点问题并给出可行解决办法；④清晰回应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kern w:val="0"/>
              </w:rPr>
              <w:t>工作内容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进行综合评审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。</w:t>
            </w:r>
          </w:p>
          <w:p>
            <w:pPr>
              <w:numPr>
                <w:ilvl w:val="-1"/>
                <w:numId w:val="0"/>
              </w:num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1.响应文件包含以上①-④项内容，对项目的编制背景、工作目标、工作内容理解深刻、精准，分析全面透彻，且提出的思路或建议明显优于项目需求，具有很强的前瞻性和可操作性的，得20分；</w:t>
            </w:r>
          </w:p>
          <w:p>
            <w:pPr>
              <w:tabs>
                <w:tab w:val="left" w:pos="972"/>
              </w:tabs>
              <w:ind w:firstLine="0" w:firstLineChars="0"/>
            </w:pP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2.响应文件包含以上①-④项内容，对项目的编制背景、工作目标、工作内容理解比较准确，分析较为全面，能较好满足项目需求的，得15分；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3.</w:t>
            </w:r>
            <w:r>
              <w:rPr>
                <w:rFonts w:ascii="仿宋" w:hAnsi="仿宋" w:eastAsia="仿宋" w:cs="仿宋"/>
                <w:kern w:val="0"/>
              </w:rPr>
              <w:t>响应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文件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包含以上①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④项内容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</w:rPr>
              <w:t>对项目的编制背景、工作目标、工作内容</w:t>
            </w:r>
            <w:r>
              <w:rPr>
                <w:rFonts w:ascii="仿宋" w:hAnsi="仿宋" w:eastAsia="仿宋" w:cs="仿宋"/>
                <w:kern w:val="0"/>
              </w:rPr>
              <w:t>理解、认识一般，基本满足项目需求的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，</w:t>
            </w:r>
            <w:r>
              <w:rPr>
                <w:rFonts w:ascii="仿宋" w:hAnsi="仿宋" w:eastAsia="仿宋" w:cs="仿宋"/>
                <w:kern w:val="0"/>
              </w:rPr>
              <w:t>得10分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；</w:t>
            </w:r>
          </w:p>
          <w:p>
            <w:pPr>
              <w:tabs>
                <w:tab w:val="left" w:pos="972"/>
              </w:tabs>
              <w:ind w:firstLine="0" w:firstLineChars="0"/>
            </w:pP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4.</w:t>
            </w:r>
            <w:r>
              <w:rPr>
                <w:rFonts w:ascii="仿宋" w:hAnsi="仿宋" w:eastAsia="仿宋" w:cs="仿宋"/>
                <w:kern w:val="0"/>
              </w:rPr>
              <w:t>响应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文件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包含以上①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④项内容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，</w:t>
            </w:r>
            <w:r>
              <w:rPr>
                <w:rFonts w:ascii="仿宋" w:hAnsi="仿宋" w:eastAsia="仿宋" w:cs="仿宋"/>
                <w:kern w:val="0"/>
              </w:rPr>
              <w:t>未能理解或认识项目的</w:t>
            </w:r>
            <w:r>
              <w:rPr>
                <w:rFonts w:hint="eastAsia" w:ascii="仿宋" w:hAnsi="仿宋" w:eastAsia="仿宋" w:cs="仿宋"/>
                <w:kern w:val="0"/>
              </w:rPr>
              <w:t>编制背景、工作目标或工作内容</w:t>
            </w:r>
            <w:r>
              <w:rPr>
                <w:rFonts w:ascii="仿宋" w:hAnsi="仿宋" w:eastAsia="仿宋" w:cs="仿宋"/>
                <w:kern w:val="0"/>
              </w:rPr>
              <w:t>，不能完全满足项目需求的得5分；</w:t>
            </w:r>
          </w:p>
          <w:p>
            <w:pPr>
              <w:ind w:firstLine="0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未</w:t>
            </w:r>
            <w:r>
              <w:rPr>
                <w:rFonts w:ascii="仿宋" w:hAnsi="仿宋" w:eastAsia="仿宋" w:cs="仿宋"/>
                <w:kern w:val="0"/>
              </w:rPr>
              <w:t>提供不得分。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"/>
              <w:tabs>
                <w:tab w:val="left" w:pos="0"/>
                <w:tab w:val="left" w:pos="692"/>
              </w:tabs>
              <w:spacing w:line="360" w:lineRule="auto"/>
              <w:ind w:left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项目实施方案（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6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972"/>
              </w:tabs>
              <w:spacing w:line="36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对投标人根据采购需求制定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项目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实施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方案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包括但不限于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项目概况；②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项目时限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；③服务范围；④工作内容及要求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进行综合评审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。</w:t>
            </w:r>
          </w:p>
          <w:p>
            <w:pPr>
              <w:tabs>
                <w:tab w:val="left" w:pos="972"/>
              </w:tabs>
              <w:spacing w:line="36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1.方案包含以上①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④项内容，且内容详细完整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各项内容的服务工作思路和逻辑清晰，服务目标明确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各项内容的工作计划安排科学、详细，符合合作区实际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各项内容完全满足采购需求的，得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分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</w:p>
          <w:p>
            <w:pPr>
              <w:tabs>
                <w:tab w:val="left" w:pos="972"/>
              </w:tabs>
              <w:spacing w:line="36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2.方案包含以上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①-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④项内容，且内容较完整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各项内容的服务工作思路和逻辑较清晰，服务目标较明确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各项内容的工作计划安排较科学、详细，较符合合作区实际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各项内容的方案较满足采购需求，得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分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</w:p>
          <w:p>
            <w:pPr>
              <w:tabs>
                <w:tab w:val="left" w:pos="972"/>
              </w:tabs>
              <w:spacing w:line="36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3.方案包含以上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①-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④项内容，且内容基本完整，各项内容的服务工作思路和逻辑基本清晰，服务目标基本明确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各项内容的工作计划安排基本科学、详细，基本符合合作区实际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各项内容的方案基本满足采购需求，得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分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</w:p>
          <w:p>
            <w:pPr>
              <w:tabs>
                <w:tab w:val="left" w:pos="972"/>
              </w:tabs>
              <w:spacing w:line="36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4.方案包含以上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①-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④项内容，但内容不完整，各项内容的服务工作思路和逻辑不清晰，各项内容的服务目标不明确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各项内容的工作计划安排不够科学、详细，不符合合作区实际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各项内容的方案不满足采购需求，得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分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</w:p>
          <w:p>
            <w:pPr>
              <w:tabs>
                <w:tab w:val="left" w:pos="972"/>
              </w:tabs>
              <w:ind w:firstLine="0" w:firstLineChars="0"/>
              <w:jc w:val="left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5.未提供不得分。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lang w:val="en-GB"/>
              </w:rPr>
              <w:t>项目进度计划和保障措施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</w:rPr>
              <w:t>分）</w:t>
            </w:r>
          </w:p>
        </w:tc>
        <w:tc>
          <w:tcPr>
            <w:tcW w:w="6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972"/>
              </w:tabs>
              <w:spacing w:line="360" w:lineRule="auto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highlight w:val="none"/>
              </w:rPr>
              <w:t>对项目</w:t>
            </w:r>
            <w:r>
              <w:rPr>
                <w:rFonts w:ascii="仿宋" w:hAnsi="仿宋" w:eastAsia="仿宋" w:cs="仿宋"/>
                <w:highlight w:val="none"/>
                <w:lang w:val="en-GB"/>
              </w:rPr>
              <w:t>进度计划和保障措施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包括但不限于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人员投入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与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沟通机制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；②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项目实施计划及进度把控措施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；③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全过程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质量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保障措施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；④风险管理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和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应急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服务措施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等内容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进行综合评审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。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default" w:ascii="仿宋" w:hAnsi="仿宋" w:eastAsia="仿宋" w:cs="仿宋"/>
                <w:kern w:val="0"/>
                <w:lang w:val="en-GB"/>
              </w:rPr>
            </w:pPr>
            <w:r>
              <w:rPr>
                <w:rFonts w:hint="default" w:ascii="仿宋" w:hAnsi="仿宋" w:eastAsia="仿宋" w:cs="仿宋"/>
                <w:kern w:val="0"/>
                <w:lang w:val="en-GB"/>
              </w:rPr>
              <w:t>1.项目进度计划和保障措施包含以上①-④项内容，各项措施内容全面、逻辑清晰、可操作性强，能有效保障项目顺利实施的，得10分；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default" w:ascii="仿宋" w:hAnsi="仿宋" w:eastAsia="仿宋" w:cs="仿宋"/>
                <w:kern w:val="0"/>
                <w:lang w:val="en-GB"/>
              </w:rPr>
            </w:pPr>
            <w:r>
              <w:rPr>
                <w:rFonts w:hint="default" w:ascii="仿宋" w:hAnsi="仿宋" w:eastAsia="仿宋" w:cs="仿宋"/>
                <w:kern w:val="0"/>
                <w:lang w:val="en-GB"/>
              </w:rPr>
              <w:t>2.项目进度计划和保障措施包含以上①-④项内容，各项措施内容较全面、逻辑较清晰、可操作性较强，能较好保障项目实施的，得 7分；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default" w:ascii="仿宋" w:hAnsi="仿宋" w:eastAsia="仿宋" w:cs="仿宋"/>
                <w:kern w:val="0"/>
                <w:lang w:val="en-GB"/>
              </w:rPr>
            </w:pPr>
            <w:r>
              <w:rPr>
                <w:rFonts w:hint="default" w:ascii="仿宋" w:hAnsi="仿宋" w:eastAsia="仿宋" w:cs="仿宋"/>
                <w:kern w:val="0"/>
                <w:lang w:val="en-GB" w:eastAsia="zh-CN"/>
              </w:rPr>
              <w:t>3</w:t>
            </w:r>
            <w:r>
              <w:rPr>
                <w:rFonts w:hint="default" w:ascii="仿宋" w:hAnsi="仿宋" w:eastAsia="仿宋" w:cs="仿宋"/>
                <w:kern w:val="0"/>
                <w:lang w:val="en-GB"/>
              </w:rPr>
              <w:t>.项目进度计划和保障措施包含以上①-④项内容，各项措施内容基本全面、具有可操作性，能基本保障项目实施的，得 4分；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default" w:ascii="仿宋" w:hAnsi="仿宋" w:eastAsia="仿宋" w:cs="仿宋"/>
                <w:kern w:val="0"/>
                <w:sz w:val="24"/>
                <w:lang w:val="en-GB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lang w:val="en-GB" w:eastAsia="zh-CN"/>
              </w:rPr>
              <w:t>4</w:t>
            </w:r>
            <w:r>
              <w:rPr>
                <w:rFonts w:hint="default" w:ascii="仿宋" w:hAnsi="仿宋" w:eastAsia="仿宋" w:cs="仿宋"/>
                <w:kern w:val="0"/>
                <w:sz w:val="24"/>
                <w:lang w:val="en-GB"/>
              </w:rPr>
              <w:t>.项目进度计划和保障措施包含以上①-④项内容，各项措施内容不全面、缺乏可操作性，难以有效保障项目实施的，得 1分；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ascii="仿宋" w:hAnsi="仿宋" w:eastAsia="仿宋" w:cs="仿宋"/>
                <w:kern w:val="0"/>
                <w:highlight w:val="none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lang w:val="en-GB"/>
              </w:rPr>
              <w:t>5.未提供不得分。</w:t>
            </w:r>
          </w:p>
        </w:tc>
      </w:tr>
    </w:tbl>
    <w:p>
      <w:pPr>
        <w:ind w:firstLine="0" w:firstLineChars="0"/>
        <w:rPr>
          <w:rFonts w:ascii="仿宋" w:hAnsi="仿宋" w:eastAsia="仿宋" w:cs="仿宋"/>
        </w:rPr>
      </w:pPr>
    </w:p>
    <w:p>
      <w:pPr>
        <w:pStyle w:val="2"/>
        <w:numPr>
          <w:ilvl w:val="0"/>
          <w:numId w:val="0"/>
        </w:numPr>
        <w:spacing w:before="100" w:after="0" w:line="360" w:lineRule="auto"/>
        <w:jc w:val="center"/>
        <w:rPr>
          <w:rStyle w:val="13"/>
          <w:rFonts w:ascii="仿宋" w:hAnsi="仿宋" w:eastAsia="仿宋" w:cs="仿宋"/>
          <w:sz w:val="30"/>
          <w:szCs w:val="30"/>
        </w:rPr>
      </w:pPr>
      <w:bookmarkStart w:id="19" w:name="_Toc12039"/>
      <w:bookmarkStart w:id="20" w:name="_Toc13335"/>
      <w:bookmarkStart w:id="21" w:name="_Toc83237337"/>
      <w:bookmarkStart w:id="22" w:name="_Toc6949"/>
      <w:bookmarkStart w:id="23" w:name="_Toc14226"/>
      <w:bookmarkStart w:id="24" w:name="_Toc19991"/>
      <w:bookmarkStart w:id="25" w:name="_Toc70015596"/>
      <w:bookmarkStart w:id="26" w:name="_Toc18227"/>
      <w:bookmarkStart w:id="27" w:name="_Toc6884"/>
      <w:bookmarkStart w:id="28" w:name="_Toc6295"/>
      <w:bookmarkStart w:id="29" w:name="_Toc18905"/>
      <w:bookmarkStart w:id="30" w:name="_Toc21325"/>
      <w:bookmarkStart w:id="31" w:name="_Toc9990"/>
      <w:bookmarkStart w:id="32" w:name="_Toc31977"/>
      <w:bookmarkStart w:id="33" w:name="_Toc12535"/>
      <w:bookmarkStart w:id="34" w:name="_Toc24803"/>
      <w:bookmarkStart w:id="35" w:name="_Toc20680"/>
      <w:bookmarkStart w:id="36" w:name="_Toc6762"/>
      <w:bookmarkStart w:id="37" w:name="_Toc8009"/>
      <w:bookmarkStart w:id="38" w:name="_Toc1466"/>
      <w:bookmarkStart w:id="39" w:name="_Toc11225"/>
      <w:bookmarkStart w:id="40" w:name="_Toc15463"/>
      <w:bookmarkStart w:id="41" w:name="_Toc7274"/>
      <w:bookmarkStart w:id="42" w:name="_Toc26961"/>
      <w:bookmarkStart w:id="43" w:name="_Toc10477"/>
      <w:r>
        <w:rPr>
          <w:rStyle w:val="13"/>
          <w:rFonts w:hint="eastAsia" w:ascii="仿宋" w:hAnsi="仿宋" w:eastAsia="仿宋" w:cs="仿宋"/>
          <w:sz w:val="30"/>
          <w:szCs w:val="30"/>
        </w:rPr>
        <w:t>商务评分细则（</w:t>
      </w:r>
      <w:r>
        <w:rPr>
          <w:rStyle w:val="13"/>
          <w:rFonts w:hint="eastAsia" w:ascii="仿宋" w:hAnsi="仿宋" w:eastAsia="仿宋" w:cs="仿宋"/>
          <w:sz w:val="30"/>
          <w:szCs w:val="30"/>
          <w:lang w:val="en-US" w:eastAsia="zh-CN"/>
        </w:rPr>
        <w:t>30</w:t>
      </w:r>
      <w:r>
        <w:rPr>
          <w:rStyle w:val="13"/>
          <w:rFonts w:hint="eastAsia" w:ascii="仿宋" w:hAnsi="仿宋" w:eastAsia="仿宋" w:cs="仿宋"/>
          <w:sz w:val="30"/>
          <w:szCs w:val="30"/>
        </w:rPr>
        <w:t>分）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tbl>
      <w:tblPr>
        <w:tblStyle w:val="10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6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7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评审内容</w:t>
            </w:r>
          </w:p>
        </w:tc>
        <w:tc>
          <w:tcPr>
            <w:tcW w:w="689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评分细则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9" w:hRule="atLeast"/>
        </w:trPr>
        <w:tc>
          <w:tcPr>
            <w:tcW w:w="147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业绩经验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highlight w:val="none"/>
              </w:rPr>
              <w:t>分）</w:t>
            </w:r>
          </w:p>
        </w:tc>
        <w:tc>
          <w:tcPr>
            <w:tcW w:w="6895" w:type="dxa"/>
            <w:vAlign w:val="center"/>
          </w:tcPr>
          <w:p>
            <w:pPr>
              <w:tabs>
                <w:tab w:val="left" w:pos="972"/>
                <w:tab w:val="left" w:pos="3600"/>
              </w:tabs>
              <w:ind w:firstLine="0" w:firstLineChars="0"/>
              <w:rPr>
                <w:rFonts w:hint="default" w:ascii="仿宋" w:hAnsi="仿宋" w:eastAsia="仿宋" w:cs="仿宋"/>
                <w:kern w:val="0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年1月1日</w:t>
            </w:r>
            <w:r>
              <w:rPr>
                <w:rFonts w:hint="eastAsia" w:ascii="仿宋" w:hAnsi="仿宋" w:eastAsia="仿宋" w:cs="仿宋"/>
                <w:color w:val="auto"/>
                <w:kern w:val="0"/>
              </w:rPr>
              <w:t>至投标截止</w:t>
            </w:r>
            <w:r>
              <w:rPr>
                <w:rFonts w:hint="eastAsia" w:ascii="仿宋" w:hAnsi="仿宋" w:eastAsia="仿宋" w:cs="仿宋"/>
                <w:color w:val="auto"/>
                <w:kern w:val="0"/>
                <w:lang w:val="en-US" w:eastAsia="zh-CN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kern w:val="0"/>
              </w:rPr>
              <w:t>前</w:t>
            </w:r>
            <w:r>
              <w:rPr>
                <w:rFonts w:hint="eastAsia" w:ascii="仿宋" w:hAnsi="仿宋" w:eastAsia="仿宋" w:cs="仿宋"/>
                <w:color w:val="auto"/>
                <w:kern w:val="0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u w:val="none"/>
                <w:lang w:eastAsia="zh-CN"/>
              </w:rPr>
              <w:t>投标人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承接过</w:t>
            </w: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黑烟车检测设备或机动车尾气遥感维保</w:t>
            </w:r>
            <w:r>
              <w:rPr>
                <w:rFonts w:hint="eastAsia" w:ascii="仿宋" w:hAnsi="仿宋" w:eastAsia="仿宋" w:cs="仿宋"/>
                <w:kern w:val="0"/>
              </w:rPr>
              <w:t>项目的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，每一份业绩得</w:t>
            </w:r>
            <w:r>
              <w:rPr>
                <w:rFonts w:hint="eastAsia" w:ascii="仿宋" w:hAnsi="仿宋" w:eastAsia="仿宋" w:cs="仿宋"/>
                <w:kern w:val="0"/>
                <w:u w:val="none"/>
                <w:lang w:val="en-US" w:eastAsia="zh-CN"/>
              </w:rPr>
              <w:t>5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分，本项满分</w:t>
            </w:r>
            <w:r>
              <w:rPr>
                <w:rFonts w:hint="eastAsia" w:ascii="仿宋" w:hAnsi="仿宋" w:eastAsia="仿宋" w:cs="仿宋"/>
                <w:kern w:val="0"/>
                <w:u w:val="none"/>
                <w:lang w:val="en-US" w:eastAsia="zh-CN"/>
              </w:rPr>
              <w:t>15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分。</w:t>
            </w:r>
          </w:p>
          <w:p>
            <w:pPr>
              <w:tabs>
                <w:tab w:val="left" w:pos="972"/>
                <w:tab w:val="left" w:pos="3600"/>
              </w:tabs>
              <w:ind w:firstLine="0" w:firstLineChars="0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注：投标文件中须提供项目合同全件复印件，或者合同关键页复印件（合同关键页应当体现合同当事人名称（甲乙双方名称，其中任意一人名称应当与投标人一致）、合同内容、合同签章处及合同签订时间等关键信息）以上复印件均需加盖投标人公章，未提供或提供的资料不符合要求的则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70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拟投入本项目人员（含项目负责人）</w:t>
            </w:r>
          </w:p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）</w:t>
            </w:r>
          </w:p>
        </w:tc>
        <w:tc>
          <w:tcPr>
            <w:tcW w:w="6895" w:type="dxa"/>
            <w:vAlign w:val="top"/>
          </w:tcPr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根据投标人拟投入本项目人员（含项目负责人）数量进行综合评审：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highlight w:val="none"/>
              </w:rPr>
              <w:t>拟投入人员数量≥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人，得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分；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highlight w:val="none"/>
              </w:rPr>
              <w:t>拟投入人员数量≥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人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得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分；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highlight w:val="none"/>
              </w:rPr>
              <w:t>拟投入人员数量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为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人，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eastAsia="zh-CN"/>
              </w:rPr>
              <w:t>得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val="en-US" w:eastAsia="zh-CN"/>
              </w:rPr>
              <w:t>1分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。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highlight w:val="none"/>
              </w:rPr>
              <w:t>本项最高得</w:t>
            </w:r>
            <w:r>
              <w:rPr>
                <w:rFonts w:hint="eastAsia" w:ascii="仿宋" w:hAnsi="仿宋" w:eastAsia="仿宋" w:cs="仿宋"/>
                <w:kern w:val="0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0"/>
                <w:highlight w:val="none"/>
              </w:rPr>
              <w:t>分。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注：提供以上人员投标截止日前3个月内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任意</w:t>
            </w: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1个月</w:t>
            </w:r>
            <w:r>
              <w:rPr>
                <w:rFonts w:hint="eastAsia" w:ascii="仿宋" w:hAnsi="仿宋" w:eastAsia="仿宋" w:cs="仿宋"/>
                <w:kern w:val="0"/>
              </w:rPr>
              <w:t>由投标单位缴纳的社保证明，并加盖供应商公章，否则不得分。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70" w:type="dxa"/>
            <w:tcBorders>
              <w:bottom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诚信记录（5分）</w:t>
            </w:r>
          </w:p>
        </w:tc>
        <w:tc>
          <w:tcPr>
            <w:tcW w:w="6895" w:type="dxa"/>
            <w:tcBorders>
              <w:bottom w:val="single" w:color="auto" w:sz="4" w:space="0"/>
            </w:tcBorders>
            <w:vAlign w:val="top"/>
          </w:tcPr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根据《关于加强珠海市政府采购供应商诚信管理有关事项的通知》（珠财采通（2022）20 号）要求，对供应商的诚信状况（普通失信行为）进行评分，具体计算公式如下：诚信记录评审得分=供应商上一年度诚信记录得分x5%。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注：1.采购人于投标截止时间后，在评审活动开始前，通过广东政府采购网“其他监管检查公告”栏和珠海市财政局网站“信用财政”栏查询投标（响应）供应商的诚信状况（即供应商上一年度的诚信记录得分）提供给评审小组，由评审小组根据上述公式进行评审打分。2.首次参加珠海市政府采购活动的供应商诚信管理基础得分为100分，在广东政府采购网“其他监管检查公告”栏和珠海市财政局网站“信用财政”栏查询不到相关供应商扣分记录的，视为该供应商上一年度诚信记录得分为100分。</w:t>
            </w:r>
          </w:p>
        </w:tc>
      </w:tr>
    </w:tbl>
    <w:p>
      <w:pPr>
        <w:pStyle w:val="9"/>
        <w:ind w:firstLine="0" w:firstLineChars="0"/>
        <w:rPr>
          <w:rFonts w:ascii="仿宋" w:hAnsi="仿宋" w:eastAsia="仿宋" w:cs="仿宋"/>
        </w:rPr>
      </w:pPr>
    </w:p>
    <w:p>
      <w:pPr>
        <w:pStyle w:val="2"/>
        <w:numPr>
          <w:ilvl w:val="0"/>
          <w:numId w:val="0"/>
        </w:numPr>
        <w:spacing w:before="100" w:after="0" w:line="360" w:lineRule="auto"/>
        <w:jc w:val="center"/>
        <w:rPr>
          <w:rStyle w:val="13"/>
          <w:rFonts w:ascii="仿宋" w:hAnsi="仿宋" w:eastAsia="仿宋" w:cs="仿宋"/>
          <w:sz w:val="30"/>
          <w:szCs w:val="30"/>
        </w:rPr>
      </w:pPr>
      <w:bookmarkStart w:id="44" w:name="_Toc1367"/>
      <w:bookmarkStart w:id="45" w:name="_Toc5395"/>
      <w:bookmarkStart w:id="46" w:name="_Toc3247"/>
      <w:bookmarkStart w:id="47" w:name="_Toc25899"/>
      <w:bookmarkStart w:id="48" w:name="_Toc13953"/>
      <w:bookmarkStart w:id="49" w:name="_Toc83237338"/>
      <w:bookmarkStart w:id="50" w:name="_Toc22870"/>
      <w:bookmarkStart w:id="51" w:name="_Toc3595"/>
      <w:bookmarkStart w:id="52" w:name="_Toc20472"/>
      <w:bookmarkStart w:id="53" w:name="_Toc7019"/>
      <w:bookmarkStart w:id="54" w:name="_Toc27096"/>
      <w:bookmarkStart w:id="55" w:name="_Toc31423"/>
      <w:bookmarkStart w:id="56" w:name="_Toc3494"/>
      <w:bookmarkStart w:id="57" w:name="_Toc32034"/>
      <w:bookmarkStart w:id="58" w:name="_Toc19934"/>
      <w:bookmarkStart w:id="59" w:name="_Toc812"/>
      <w:bookmarkStart w:id="60" w:name="_Toc70015597"/>
      <w:bookmarkStart w:id="61" w:name="_Toc4946"/>
      <w:bookmarkStart w:id="62" w:name="_Toc23623"/>
      <w:bookmarkStart w:id="63" w:name="_Toc6515"/>
      <w:bookmarkStart w:id="64" w:name="_Toc9109"/>
      <w:bookmarkStart w:id="65" w:name="_Toc30126"/>
      <w:bookmarkStart w:id="66" w:name="_Toc4194"/>
      <w:bookmarkStart w:id="67" w:name="_Toc30914"/>
      <w:bookmarkStart w:id="68" w:name="_Toc7833"/>
      <w:r>
        <w:rPr>
          <w:rStyle w:val="13"/>
          <w:rFonts w:hint="eastAsia" w:ascii="仿宋" w:hAnsi="仿宋" w:eastAsia="仿宋" w:cs="仿宋"/>
          <w:sz w:val="30"/>
          <w:szCs w:val="30"/>
        </w:rPr>
        <w:t>经济价格评分细则（</w:t>
      </w:r>
      <w:r>
        <w:rPr>
          <w:rStyle w:val="13"/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Style w:val="13"/>
          <w:rFonts w:hint="eastAsia" w:ascii="仿宋" w:hAnsi="仿宋" w:eastAsia="仿宋" w:cs="仿宋"/>
          <w:sz w:val="30"/>
          <w:szCs w:val="30"/>
        </w:rPr>
        <w:t>0分）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tbl>
      <w:tblPr>
        <w:tblStyle w:val="11"/>
        <w:tblW w:w="0" w:type="auto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6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Align w:val="center"/>
          </w:tcPr>
          <w:p>
            <w:pPr>
              <w:pStyle w:val="14"/>
              <w:tabs>
                <w:tab w:val="left" w:pos="332"/>
              </w:tabs>
              <w:snapToGrid w:val="0"/>
              <w:ind w:firstLine="0" w:firstLineChars="0"/>
              <w:jc w:val="center"/>
              <w:rPr>
                <w:rStyle w:val="13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  <w:t>评审内容</w:t>
            </w:r>
          </w:p>
        </w:tc>
        <w:tc>
          <w:tcPr>
            <w:tcW w:w="6870" w:type="dxa"/>
            <w:vAlign w:val="center"/>
          </w:tcPr>
          <w:p>
            <w:pPr>
              <w:pStyle w:val="14"/>
              <w:tabs>
                <w:tab w:val="left" w:pos="332"/>
              </w:tabs>
              <w:snapToGrid w:val="0"/>
              <w:ind w:firstLine="0" w:firstLineChars="0"/>
              <w:jc w:val="center"/>
              <w:rPr>
                <w:rStyle w:val="13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  <w:t>评分细则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Align w:val="center"/>
          </w:tcPr>
          <w:p>
            <w:pPr>
              <w:pStyle w:val="14"/>
              <w:tabs>
                <w:tab w:val="left" w:pos="332"/>
              </w:tabs>
              <w:snapToGrid w:val="0"/>
              <w:ind w:firstLine="0" w:firstLineChars="0"/>
              <w:jc w:val="center"/>
              <w:rPr>
                <w:rStyle w:val="13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  <w:t>经济价格（20分）</w:t>
            </w:r>
          </w:p>
        </w:tc>
        <w:tc>
          <w:tcPr>
            <w:tcW w:w="6870" w:type="dxa"/>
          </w:tcPr>
          <w:p>
            <w:pPr>
              <w:pStyle w:val="14"/>
              <w:tabs>
                <w:tab w:val="left" w:pos="332"/>
              </w:tabs>
              <w:snapToGrid w:val="0"/>
              <w:ind w:firstLine="0" w:firstLineChars="0"/>
              <w:rPr>
                <w:rStyle w:val="13"/>
                <w:rFonts w:ascii="仿宋" w:hAnsi="仿宋" w:eastAsia="仿宋" w:cs="仿宋"/>
                <w:bCs/>
                <w:szCs w:val="24"/>
              </w:rPr>
            </w:pPr>
            <w:r>
              <w:rPr>
                <w:rStyle w:val="13"/>
                <w:rFonts w:hint="eastAsia" w:ascii="仿宋" w:hAnsi="仿宋" w:eastAsia="仿宋" w:cs="仿宋"/>
                <w:bCs/>
                <w:szCs w:val="24"/>
              </w:rPr>
              <w:t>各投标人的投标报价得分按以下公式进行计算：</w:t>
            </w:r>
          </w:p>
          <w:p>
            <w:pPr>
              <w:pStyle w:val="14"/>
              <w:tabs>
                <w:tab w:val="left" w:pos="332"/>
              </w:tabs>
              <w:snapToGrid w:val="0"/>
              <w:ind w:firstLine="0" w:firstLineChars="0"/>
            </w:pPr>
            <w:r>
              <w:rPr>
                <w:rStyle w:val="13"/>
                <w:rFonts w:hint="eastAsia" w:ascii="仿宋" w:hAnsi="仿宋" w:eastAsia="仿宋" w:cs="仿宋"/>
                <w:bCs/>
                <w:szCs w:val="24"/>
              </w:rPr>
              <w:t>投标报价得分=(评标基准价/评标价)×</w:t>
            </w:r>
            <w:r>
              <w:rPr>
                <w:rStyle w:val="13"/>
                <w:rFonts w:hint="eastAsia" w:ascii="仿宋" w:hAnsi="仿宋" w:eastAsia="仿宋" w:cs="仿宋"/>
                <w:bCs/>
                <w:szCs w:val="24"/>
                <w:lang w:val="en-US" w:eastAsia="zh-CN"/>
              </w:rPr>
              <w:t>2</w:t>
            </w:r>
            <w:r>
              <w:rPr>
                <w:rStyle w:val="13"/>
                <w:rFonts w:hint="eastAsia" w:ascii="仿宋" w:hAnsi="仿宋" w:eastAsia="仿宋" w:cs="仿宋"/>
                <w:bCs/>
                <w:szCs w:val="24"/>
              </w:rPr>
              <w:t>0%×100</w:t>
            </w:r>
          </w:p>
          <w:p>
            <w:pPr>
              <w:pStyle w:val="14"/>
              <w:tabs>
                <w:tab w:val="left" w:pos="332"/>
              </w:tabs>
              <w:snapToGrid w:val="0"/>
              <w:ind w:firstLine="0" w:firstLineChars="0"/>
              <w:rPr>
                <w:rStyle w:val="13"/>
                <w:rFonts w:hint="eastAsia" w:ascii="仿宋" w:hAnsi="仿宋" w:eastAsia="仿宋" w:cs="仿宋"/>
                <w:bCs/>
                <w:szCs w:val="24"/>
                <w:vertAlign w:val="baseline"/>
              </w:rPr>
            </w:pPr>
            <w:r>
              <w:rPr>
                <w:rStyle w:val="13"/>
                <w:rFonts w:hint="eastAsia" w:ascii="仿宋" w:hAnsi="仿宋" w:eastAsia="仿宋" w:cs="仿宋"/>
                <w:bCs/>
                <w:szCs w:val="24"/>
                <w:vertAlign w:val="baseline"/>
              </w:rPr>
              <w:t>上述公式中的“评标基准价”为满足项目需求书要求的最低评标价，其价格得分为满分。上述公式中的“评标价”为在报价基础上作算术修正后的价格，无算术修正情况下，报价即为评标价。</w:t>
            </w:r>
          </w:p>
        </w:tc>
      </w:tr>
    </w:tbl>
    <w:p>
      <w:pPr>
        <w:pStyle w:val="14"/>
        <w:tabs>
          <w:tab w:val="left" w:pos="332"/>
        </w:tabs>
        <w:snapToGrid w:val="0"/>
        <w:ind w:firstLine="48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9D4A3F"/>
    <w:multiLevelType w:val="multilevel"/>
    <w:tmpl w:val="3E9D4A3F"/>
    <w:lvl w:ilvl="0" w:tentative="0">
      <w:start w:val="1"/>
      <w:numFmt w:val="chineseCountingThousand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2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jZjk1NjVjMWU5OTk0ZDRhOTRhMWRmZGMyY2I5MjAifQ=="/>
  </w:docVars>
  <w:rsids>
    <w:rsidRoot w:val="00783AED"/>
    <w:rsid w:val="00045F71"/>
    <w:rsid w:val="0006119C"/>
    <w:rsid w:val="00080D9D"/>
    <w:rsid w:val="000F4777"/>
    <w:rsid w:val="001010F7"/>
    <w:rsid w:val="00124D04"/>
    <w:rsid w:val="0016387E"/>
    <w:rsid w:val="001D4843"/>
    <w:rsid w:val="001E3956"/>
    <w:rsid w:val="001E7DD5"/>
    <w:rsid w:val="00207959"/>
    <w:rsid w:val="00267C62"/>
    <w:rsid w:val="002A7488"/>
    <w:rsid w:val="002C0A25"/>
    <w:rsid w:val="00305FDE"/>
    <w:rsid w:val="00347C7B"/>
    <w:rsid w:val="00352E23"/>
    <w:rsid w:val="00381D51"/>
    <w:rsid w:val="003D26D8"/>
    <w:rsid w:val="00433C2E"/>
    <w:rsid w:val="00541AE5"/>
    <w:rsid w:val="00556CF5"/>
    <w:rsid w:val="006105DC"/>
    <w:rsid w:val="006544AA"/>
    <w:rsid w:val="006A7E37"/>
    <w:rsid w:val="006B386E"/>
    <w:rsid w:val="006C5801"/>
    <w:rsid w:val="006D210D"/>
    <w:rsid w:val="007255C9"/>
    <w:rsid w:val="00751194"/>
    <w:rsid w:val="00783AED"/>
    <w:rsid w:val="00787536"/>
    <w:rsid w:val="007A293A"/>
    <w:rsid w:val="007D0BFF"/>
    <w:rsid w:val="007E1887"/>
    <w:rsid w:val="007E52DF"/>
    <w:rsid w:val="007E5745"/>
    <w:rsid w:val="007F2C01"/>
    <w:rsid w:val="007F7BF5"/>
    <w:rsid w:val="008731E7"/>
    <w:rsid w:val="008C4311"/>
    <w:rsid w:val="008F65A6"/>
    <w:rsid w:val="00936845"/>
    <w:rsid w:val="00962DED"/>
    <w:rsid w:val="00977D05"/>
    <w:rsid w:val="00993E8A"/>
    <w:rsid w:val="00A06BE9"/>
    <w:rsid w:val="00A10012"/>
    <w:rsid w:val="00A21B1B"/>
    <w:rsid w:val="00A416E2"/>
    <w:rsid w:val="00AF2A43"/>
    <w:rsid w:val="00B17BBB"/>
    <w:rsid w:val="00BD18C8"/>
    <w:rsid w:val="00BF48DE"/>
    <w:rsid w:val="00C415E9"/>
    <w:rsid w:val="00C7752B"/>
    <w:rsid w:val="00C85CE8"/>
    <w:rsid w:val="00CA117E"/>
    <w:rsid w:val="00D4055D"/>
    <w:rsid w:val="00D93F9D"/>
    <w:rsid w:val="00DA4FDA"/>
    <w:rsid w:val="00E54BE2"/>
    <w:rsid w:val="00F251E5"/>
    <w:rsid w:val="00F566E4"/>
    <w:rsid w:val="00FE19B3"/>
    <w:rsid w:val="00FE1F9B"/>
    <w:rsid w:val="01A35B5C"/>
    <w:rsid w:val="09EA0AA5"/>
    <w:rsid w:val="09FE6E56"/>
    <w:rsid w:val="0CCF5881"/>
    <w:rsid w:val="0D030E02"/>
    <w:rsid w:val="0EEE0C6B"/>
    <w:rsid w:val="100B407B"/>
    <w:rsid w:val="12F77C2B"/>
    <w:rsid w:val="1BCD48DA"/>
    <w:rsid w:val="265248D9"/>
    <w:rsid w:val="27F71C0E"/>
    <w:rsid w:val="313F51D5"/>
    <w:rsid w:val="36140EF6"/>
    <w:rsid w:val="3AB66C4C"/>
    <w:rsid w:val="3B4B68CB"/>
    <w:rsid w:val="3BB47A2E"/>
    <w:rsid w:val="3E405364"/>
    <w:rsid w:val="3FB6697C"/>
    <w:rsid w:val="418C2076"/>
    <w:rsid w:val="46F16218"/>
    <w:rsid w:val="4A2033D0"/>
    <w:rsid w:val="4A581909"/>
    <w:rsid w:val="4B247B60"/>
    <w:rsid w:val="53FC00FE"/>
    <w:rsid w:val="5ED50937"/>
    <w:rsid w:val="5F324C29"/>
    <w:rsid w:val="606429ED"/>
    <w:rsid w:val="67CD648C"/>
    <w:rsid w:val="680A69C3"/>
    <w:rsid w:val="687F4E68"/>
    <w:rsid w:val="69F760BD"/>
    <w:rsid w:val="6BC70CE5"/>
    <w:rsid w:val="6C243191"/>
    <w:rsid w:val="6D000D49"/>
    <w:rsid w:val="6DF01AF1"/>
    <w:rsid w:val="725B6C9D"/>
    <w:rsid w:val="72C22595"/>
    <w:rsid w:val="74B47633"/>
    <w:rsid w:val="74C2448C"/>
    <w:rsid w:val="79AA0277"/>
    <w:rsid w:val="79CA35D6"/>
    <w:rsid w:val="7D591CA2"/>
    <w:rsid w:val="7D9C3927"/>
    <w:rsid w:val="7EB7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1"/>
    <w:pPr>
      <w:keepNext/>
      <w:keepLines/>
      <w:numPr>
        <w:ilvl w:val="2"/>
        <w:numId w:val="1"/>
      </w:numPr>
      <w:spacing w:before="260" w:after="260" w:line="415" w:lineRule="auto"/>
      <w:ind w:firstLineChars="0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Body Text Indent 2"/>
    <w:basedOn w:val="1"/>
    <w:next w:val="1"/>
    <w:qFormat/>
    <w:uiPriority w:val="0"/>
    <w:pPr>
      <w:spacing w:line="480" w:lineRule="exact"/>
      <w:ind w:left="810" w:firstLine="675"/>
    </w:pPr>
    <w:rPr>
      <w:rFonts w:eastAsia="仿宋_GB2312"/>
      <w:sz w:val="30"/>
      <w:szCs w:val="20"/>
    </w:rPr>
  </w:style>
  <w:style w:type="paragraph" w:styleId="5">
    <w:name w:val="Balloon Text"/>
    <w:basedOn w:val="1"/>
    <w:link w:val="18"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"/>
    <w:basedOn w:val="3"/>
    <w:unhideWhenUsed/>
    <w:qFormat/>
    <w:uiPriority w:val="99"/>
    <w:pPr>
      <w:spacing w:line="240" w:lineRule="auto"/>
      <w:ind w:firstLine="420" w:firstLineChars="100"/>
    </w:pPr>
    <w:rPr>
      <w:rFonts w:ascii="Calibri" w:hAnsi="Calibri"/>
      <w:sz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NormalCharacter"/>
    <w:qFormat/>
    <w:uiPriority w:val="0"/>
  </w:style>
  <w:style w:type="paragraph" w:customStyle="1" w:styleId="14">
    <w:name w:val="PlainText"/>
    <w:basedOn w:val="1"/>
    <w:qFormat/>
    <w:uiPriority w:val="0"/>
    <w:rPr>
      <w:rFonts w:ascii="宋体" w:hAnsi="Courier New"/>
      <w:szCs w:val="21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页眉 Char"/>
    <w:basedOn w:val="12"/>
    <w:link w:val="7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7">
    <w:name w:val="页脚 Char"/>
    <w:basedOn w:val="12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批注框文本 Char"/>
    <w:basedOn w:val="12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9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0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1123</Words>
  <Characters>1157</Characters>
  <Lines>7</Lines>
  <Paragraphs>2</Paragraphs>
  <TotalTime>17</TotalTime>
  <ScaleCrop>false</ScaleCrop>
  <LinksUpToDate>false</LinksUpToDate>
  <CharactersWithSpaces>1165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2024-02-05T04:36:00Z</dcterms:created>
  <dc:creator>Administrator</dc:creator>
  <cp:lastModifiedBy>吴杏妍</cp:lastModifiedBy>
  <cp:lastPrinted>2024-02-27T09:31:00Z</cp:lastPrinted>
  <dcterms:modified xsi:type="dcterms:W3CDTF">2026-08-03T07:01:05Z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A332EE88C58649CEB5A437F1E38D4DC7</vt:lpwstr>
  </property>
</Properties>
</file>