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eastAsia="zh-CN"/>
        </w:rPr>
        <w:t>项目</w:t>
      </w:r>
      <w:r>
        <w:rPr>
          <w:rFonts w:hint="eastAsia" w:ascii="仿宋_GB2312" w:hAnsi="仿宋_GB2312" w:eastAsia="仿宋_GB2312" w:cs="仿宋_GB2312"/>
          <w:b/>
          <w:bCs/>
          <w:color w:val="auto"/>
          <w:sz w:val="44"/>
          <w:szCs w:val="44"/>
          <w:lang w:val="en-US" w:eastAsia="zh-CN"/>
        </w:rPr>
        <w:t>需求书</w:t>
      </w:r>
    </w:p>
    <w:p>
      <w:pPr>
        <w:pStyle w:val="2"/>
        <w:rPr>
          <w:rFonts w:hint="eastAsia" w:eastAsia="宋体"/>
          <w:lang w:val="en-US" w:eastAsia="zh-CN"/>
        </w:rPr>
      </w:pPr>
      <w:r>
        <w:rPr>
          <w:rFonts w:hint="eastAsia" w:eastAsia="宋体"/>
          <w:lang w:val="en-US" w:eastAsia="zh-CN"/>
        </w:rPr>
        <w:drawing>
          <wp:inline distT="0" distB="0" distL="114300" distR="114300">
            <wp:extent cx="5557520" cy="3650615"/>
            <wp:effectExtent l="0" t="0" r="5080" b="6985"/>
            <wp:docPr id="2" name="图片 2" descr="df64b3d382b5a766170e625babe52a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f64b3d382b5a766170e625babe52a54"/>
                    <pic:cNvPicPr>
                      <a:picLocks noChangeAspect="1"/>
                    </pic:cNvPicPr>
                  </pic:nvPicPr>
                  <pic:blipFill>
                    <a:blip r:embed="rId4"/>
                    <a:stretch>
                      <a:fillRect/>
                    </a:stretch>
                  </pic:blipFill>
                  <pic:spPr>
                    <a:xfrm>
                      <a:off x="0" y="0"/>
                      <a:ext cx="5557520" cy="3650615"/>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562" w:firstLineChars="200"/>
        <w:jc w:val="left"/>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项目概况</w:t>
      </w:r>
    </w:p>
    <w:p>
      <w:pPr>
        <w:ind w:firstLine="560" w:firstLineChars="200"/>
        <w:jc w:val="both"/>
        <w:rPr>
          <w:rFonts w:hint="eastAsia" w:ascii="仿宋_GB2312" w:hAnsi="仿宋_GB2312" w:eastAsia="仿宋_GB2312" w:cs="仿宋_GB2312"/>
          <w:b w:val="0"/>
          <w:bCs w:val="0"/>
          <w:color w:val="auto"/>
          <w:spacing w:val="0"/>
          <w:kern w:val="2"/>
          <w:sz w:val="28"/>
          <w:szCs w:val="28"/>
          <w:highlight w:val="none"/>
          <w:lang w:val="en-US" w:eastAsia="zh-CN" w:bidi="ar-SA"/>
        </w:rPr>
      </w:pPr>
      <w:r>
        <w:rPr>
          <w:rFonts w:hint="eastAsia" w:ascii="仿宋_GB2312" w:hAnsi="仿宋_GB2312" w:eastAsia="仿宋_GB2312" w:cs="仿宋_GB2312"/>
          <w:b w:val="0"/>
          <w:bCs w:val="0"/>
          <w:color w:val="auto"/>
          <w:spacing w:val="0"/>
          <w:kern w:val="2"/>
          <w:sz w:val="28"/>
          <w:szCs w:val="28"/>
          <w:highlight w:val="none"/>
          <w:lang w:val="en-US" w:eastAsia="zh-CN" w:bidi="ar-SA"/>
        </w:rPr>
        <w:t>2026年第33届广州园林博览会主题为“美丽山水花城·活力自然家园”；湾区标准展园</w:t>
      </w:r>
      <w:r>
        <w:rPr>
          <w:rFonts w:hint="eastAsia" w:ascii="仿宋_GB2312" w:hAnsi="仿宋_GB2312" w:eastAsia="仿宋_GB2312" w:cs="仿宋_GB2312"/>
          <w:b w:val="0"/>
          <w:bCs w:val="0"/>
          <w:color w:val="auto"/>
          <w:spacing w:val="0"/>
          <w:kern w:val="2"/>
          <w:sz w:val="28"/>
          <w:szCs w:val="28"/>
          <w:lang w:val="en-US" w:eastAsia="zh-CN" w:bidi="ar-SA"/>
        </w:rPr>
        <w:t>规划面积约500㎡，展园地块为长方形，尺寸约25m×20m，</w:t>
      </w:r>
      <w:r>
        <w:rPr>
          <w:rFonts w:hint="eastAsia" w:ascii="仿宋_GB2312" w:hAnsi="仿宋_GB2312" w:eastAsia="仿宋_GB2312" w:cs="仿宋_GB2312"/>
          <w:b w:val="0"/>
          <w:bCs w:val="0"/>
          <w:color w:val="auto"/>
          <w:spacing w:val="0"/>
          <w:kern w:val="2"/>
          <w:sz w:val="28"/>
          <w:szCs w:val="28"/>
          <w:highlight w:val="none"/>
          <w:lang w:val="en-US" w:eastAsia="zh-CN" w:bidi="ar-SA"/>
        </w:rPr>
        <w:t>主题花卉为向日葵、鼠尾草；暂定于2026年11月18日开幕。</w:t>
      </w:r>
    </w:p>
    <w:p>
      <w:pPr>
        <w:ind w:firstLine="560" w:firstLineChars="200"/>
        <w:jc w:val="both"/>
        <w:rPr>
          <w:rFonts w:hint="eastAsia"/>
          <w:lang w:val="en-US" w:eastAsia="zh-CN"/>
        </w:rPr>
      </w:pPr>
      <w:r>
        <w:rPr>
          <w:rFonts w:hint="eastAsia" w:ascii="仿宋_GB2312" w:hAnsi="仿宋_GB2312" w:eastAsia="仿宋_GB2312" w:cs="仿宋_GB2312"/>
          <w:b w:val="0"/>
          <w:bCs w:val="0"/>
          <w:color w:val="auto"/>
          <w:spacing w:val="0"/>
          <w:kern w:val="2"/>
          <w:sz w:val="28"/>
          <w:szCs w:val="28"/>
          <w:highlight w:val="none"/>
          <w:lang w:val="en-US" w:eastAsia="zh-CN" w:bidi="ar-SA"/>
        </w:rPr>
        <w:t>场地原则铺设30cm厚度种植覆土后交付使用，交付条件以展区现场实际情况为准。中标人因景观造坡、构筑物基础加固等设计需求产生的土方开挖、渣土外运、种植土回填改良、地形塑形等全部相关费用统一包干计入投标总价，采购人不另行追加任何费用。</w:t>
      </w:r>
    </w:p>
    <w:p>
      <w:pPr>
        <w:pStyle w:val="2"/>
        <w:widowControl w:val="0"/>
        <w:numPr>
          <w:ilvl w:val="0"/>
          <w:numId w:val="2"/>
        </w:numPr>
        <w:spacing w:after="120" w:line="360" w:lineRule="auto"/>
        <w:ind w:firstLine="562" w:firstLineChars="200"/>
        <w:jc w:val="both"/>
        <w:rPr>
          <w:rFonts w:hint="eastAsia" w:ascii="仿宋_GB2312" w:hAnsi="仿宋_GB2312" w:eastAsia="仿宋_GB2312" w:cs="仿宋_GB2312"/>
          <w:b/>
          <w:bCs/>
          <w:color w:val="auto"/>
          <w:spacing w:val="0"/>
          <w:kern w:val="2"/>
          <w:sz w:val="28"/>
          <w:szCs w:val="28"/>
          <w:highlight w:val="none"/>
          <w:lang w:val="en-US" w:eastAsia="zh-CN" w:bidi="ar-SA"/>
        </w:rPr>
      </w:pPr>
      <w:r>
        <w:rPr>
          <w:rFonts w:hint="eastAsia" w:ascii="仿宋_GB2312" w:hAnsi="仿宋_GB2312" w:eastAsia="仿宋_GB2312" w:cs="仿宋_GB2312"/>
          <w:b/>
          <w:bCs/>
          <w:color w:val="auto"/>
          <w:spacing w:val="0"/>
          <w:kern w:val="2"/>
          <w:sz w:val="28"/>
          <w:szCs w:val="28"/>
          <w:highlight w:val="none"/>
          <w:lang w:val="en-US" w:eastAsia="zh-CN" w:bidi="ar-SA"/>
        </w:rPr>
        <w:t>服务名称：</w:t>
      </w:r>
      <w:r>
        <w:rPr>
          <w:rFonts w:hint="eastAsia" w:ascii="仿宋_GB2312" w:hAnsi="仿宋_GB2312" w:eastAsia="仿宋_GB2312" w:cs="仿宋_GB2312"/>
          <w:b w:val="0"/>
          <w:bCs w:val="0"/>
          <w:color w:val="auto"/>
          <w:spacing w:val="0"/>
          <w:kern w:val="2"/>
          <w:sz w:val="28"/>
          <w:szCs w:val="28"/>
          <w:highlight w:val="none"/>
          <w:lang w:val="en-US" w:eastAsia="zh-CN" w:bidi="ar-SA"/>
        </w:rPr>
        <w:t>横琴粤澳深度合作区城市规划和建设局2026年第33届广州园林博览会参展服务项目</w:t>
      </w:r>
    </w:p>
    <w:p>
      <w:pPr>
        <w:pStyle w:val="2"/>
        <w:widowControl w:val="0"/>
        <w:numPr>
          <w:ilvl w:val="0"/>
          <w:numId w:val="2"/>
        </w:numPr>
        <w:spacing w:after="120" w:line="360" w:lineRule="auto"/>
        <w:ind w:firstLine="562" w:firstLineChars="200"/>
        <w:jc w:val="both"/>
        <w:rPr>
          <w:rFonts w:hint="eastAsia" w:ascii="仿宋_GB2312" w:hAnsi="仿宋_GB2312" w:eastAsia="仿宋_GB2312" w:cs="仿宋_GB2312"/>
          <w:b w:val="0"/>
          <w:bCs w:val="0"/>
          <w:color w:val="auto"/>
          <w:spacing w:val="0"/>
          <w:kern w:val="2"/>
          <w:sz w:val="28"/>
          <w:szCs w:val="28"/>
          <w:highlight w:val="none"/>
          <w:lang w:val="en-US" w:eastAsia="zh-CN" w:bidi="ar-SA"/>
        </w:rPr>
      </w:pPr>
      <w:r>
        <w:rPr>
          <w:rFonts w:hint="eastAsia" w:ascii="仿宋_GB2312" w:hAnsi="仿宋_GB2312" w:eastAsia="仿宋_GB2312" w:cs="仿宋_GB2312"/>
          <w:b/>
          <w:bCs/>
          <w:color w:val="auto"/>
          <w:spacing w:val="0"/>
          <w:kern w:val="2"/>
          <w:sz w:val="28"/>
          <w:szCs w:val="28"/>
          <w:highlight w:val="none"/>
          <w:lang w:val="en-US" w:eastAsia="zh-CN" w:bidi="ar-SA"/>
        </w:rPr>
        <w:t>服务地点：</w:t>
      </w:r>
      <w:r>
        <w:rPr>
          <w:rFonts w:hint="eastAsia" w:ascii="仿宋_GB2312" w:eastAsia="仿宋_GB2312" w:cs="仿宋_GB2312"/>
          <w:b w:val="0"/>
          <w:bCs w:val="0"/>
          <w:color w:val="auto"/>
          <w:spacing w:val="0"/>
          <w:kern w:val="2"/>
          <w:sz w:val="28"/>
          <w:szCs w:val="28"/>
          <w:highlight w:val="none"/>
          <w:lang w:val="en-US" w:eastAsia="zh-CN" w:bidi="ar-SA"/>
        </w:rPr>
        <w:t>广州市黄埔区融德里片区</w:t>
      </w:r>
    </w:p>
    <w:p>
      <w:pPr>
        <w:pStyle w:val="2"/>
        <w:widowControl w:val="0"/>
        <w:numPr>
          <w:ilvl w:val="0"/>
          <w:numId w:val="2"/>
        </w:numPr>
        <w:spacing w:after="120" w:line="360" w:lineRule="auto"/>
        <w:ind w:firstLine="562" w:firstLineChars="200"/>
        <w:jc w:val="both"/>
        <w:rPr>
          <w:rFonts w:hint="eastAsia" w:ascii="仿宋_GB2312" w:hAnsi="仿宋_GB2312" w:eastAsia="仿宋_GB2312" w:cs="仿宋_GB2312"/>
          <w:b/>
          <w:bCs/>
          <w:color w:val="auto"/>
          <w:spacing w:val="0"/>
          <w:kern w:val="2"/>
          <w:sz w:val="28"/>
          <w:szCs w:val="28"/>
          <w:highlight w:val="none"/>
          <w:lang w:val="en-US" w:eastAsia="zh-CN" w:bidi="ar-SA"/>
        </w:rPr>
      </w:pPr>
      <w:r>
        <w:rPr>
          <w:rFonts w:hint="eastAsia" w:ascii="仿宋_GB2312" w:hAnsi="仿宋_GB2312" w:eastAsia="仿宋_GB2312" w:cs="仿宋_GB2312"/>
          <w:b/>
          <w:bCs/>
          <w:color w:val="auto"/>
          <w:spacing w:val="0"/>
          <w:kern w:val="2"/>
          <w:sz w:val="28"/>
          <w:szCs w:val="28"/>
          <w:highlight w:val="none"/>
          <w:lang w:val="en-US" w:eastAsia="zh-CN" w:bidi="ar-SA"/>
        </w:rPr>
        <w:t>服务内容：</w:t>
      </w:r>
      <w:r>
        <w:rPr>
          <w:rFonts w:hint="eastAsia" w:ascii="仿宋_GB2312" w:eastAsia="仿宋_GB2312" w:cs="仿宋_GB2312"/>
          <w:b w:val="0"/>
          <w:bCs w:val="0"/>
          <w:color w:val="auto"/>
          <w:spacing w:val="0"/>
          <w:kern w:val="2"/>
          <w:sz w:val="28"/>
          <w:szCs w:val="28"/>
          <w:highlight w:val="none"/>
          <w:lang w:val="en-US" w:eastAsia="zh-CN" w:bidi="ar-SA"/>
        </w:rPr>
        <w:t>横琴展园</w:t>
      </w:r>
      <w:r>
        <w:rPr>
          <w:rFonts w:hint="eastAsia" w:ascii="仿宋_GB2312" w:hAnsi="仿宋_GB2312" w:eastAsia="仿宋_GB2312" w:cs="仿宋_GB2312"/>
          <w:b w:val="0"/>
          <w:bCs w:val="0"/>
          <w:color w:val="auto"/>
          <w:spacing w:val="0"/>
          <w:kern w:val="2"/>
          <w:sz w:val="28"/>
          <w:szCs w:val="28"/>
          <w:highlight w:val="none"/>
          <w:lang w:val="en-US" w:eastAsia="zh-CN" w:bidi="ar-SA"/>
        </w:rPr>
        <w:t>方案设计及布展</w:t>
      </w:r>
      <w:r>
        <w:rPr>
          <w:rFonts w:hint="eastAsia" w:ascii="仿宋_GB2312" w:eastAsia="仿宋_GB2312" w:cs="仿宋_GB2312"/>
          <w:b w:val="0"/>
          <w:bCs w:val="0"/>
          <w:color w:val="auto"/>
          <w:spacing w:val="0"/>
          <w:kern w:val="2"/>
          <w:sz w:val="28"/>
          <w:szCs w:val="28"/>
          <w:highlight w:val="none"/>
          <w:lang w:val="en-US" w:eastAsia="zh-CN" w:bidi="ar-SA"/>
        </w:rPr>
        <w:t>实施</w:t>
      </w:r>
      <w:r>
        <w:rPr>
          <w:rFonts w:hint="eastAsia" w:ascii="仿宋_GB2312" w:hAnsi="仿宋_GB2312" w:eastAsia="仿宋_GB2312" w:cs="仿宋_GB2312"/>
          <w:b w:val="0"/>
          <w:bCs w:val="0"/>
          <w:color w:val="auto"/>
          <w:spacing w:val="0"/>
          <w:kern w:val="2"/>
          <w:sz w:val="28"/>
          <w:szCs w:val="28"/>
          <w:highlight w:val="none"/>
          <w:lang w:val="en-US" w:eastAsia="zh-CN" w:bidi="ar-SA"/>
        </w:rPr>
        <w:t>、</w:t>
      </w:r>
      <w:r>
        <w:rPr>
          <w:rFonts w:hint="eastAsia" w:ascii="仿宋_GB2312" w:eastAsia="仿宋_GB2312" w:cs="仿宋_GB2312"/>
          <w:b w:val="0"/>
          <w:bCs w:val="0"/>
          <w:color w:val="auto"/>
          <w:spacing w:val="0"/>
          <w:kern w:val="2"/>
          <w:sz w:val="28"/>
          <w:szCs w:val="28"/>
          <w:highlight w:val="none"/>
          <w:lang w:val="en-US" w:eastAsia="zh-CN" w:bidi="ar-SA"/>
        </w:rPr>
        <w:t>园博会</w:t>
      </w:r>
      <w:r>
        <w:rPr>
          <w:rFonts w:hint="eastAsia" w:ascii="仿宋_GB2312" w:hAnsi="仿宋_GB2312" w:eastAsia="仿宋_GB2312" w:cs="仿宋_GB2312"/>
          <w:b w:val="0"/>
          <w:bCs w:val="0"/>
          <w:color w:val="auto"/>
          <w:spacing w:val="0"/>
          <w:kern w:val="2"/>
          <w:sz w:val="28"/>
          <w:szCs w:val="28"/>
          <w:highlight w:val="none"/>
          <w:lang w:val="en-US" w:eastAsia="zh-CN" w:bidi="ar-SA"/>
        </w:rPr>
        <w:t>期间的养护</w:t>
      </w:r>
      <w:r>
        <w:rPr>
          <w:rFonts w:hint="eastAsia" w:ascii="仿宋_GB2312" w:eastAsia="仿宋_GB2312" w:cs="仿宋_GB2312"/>
          <w:b w:val="0"/>
          <w:bCs w:val="0"/>
          <w:color w:val="auto"/>
          <w:spacing w:val="0"/>
          <w:kern w:val="2"/>
          <w:sz w:val="28"/>
          <w:szCs w:val="28"/>
          <w:highlight w:val="none"/>
          <w:lang w:val="en-US" w:eastAsia="zh-CN" w:bidi="ar-SA"/>
        </w:rPr>
        <w:t>运维、展会闭幕场地</w:t>
      </w:r>
      <w:r>
        <w:rPr>
          <w:rFonts w:hint="eastAsia" w:ascii="仿宋_GB2312" w:hAnsi="仿宋_GB2312" w:eastAsia="仿宋_GB2312" w:cs="仿宋_GB2312"/>
          <w:b w:val="0"/>
          <w:bCs w:val="0"/>
          <w:color w:val="auto"/>
          <w:spacing w:val="0"/>
          <w:kern w:val="2"/>
          <w:sz w:val="28"/>
          <w:szCs w:val="28"/>
          <w:highlight w:val="none"/>
          <w:lang w:val="en-US" w:eastAsia="zh-CN" w:bidi="ar-SA"/>
        </w:rPr>
        <w:t>清场</w:t>
      </w:r>
      <w:r>
        <w:rPr>
          <w:rFonts w:hint="eastAsia" w:ascii="仿宋_GB2312" w:eastAsia="仿宋_GB2312" w:cs="仿宋_GB2312"/>
          <w:b w:val="0"/>
          <w:bCs w:val="0"/>
          <w:color w:val="auto"/>
          <w:spacing w:val="0"/>
          <w:kern w:val="2"/>
          <w:sz w:val="28"/>
          <w:szCs w:val="28"/>
          <w:highlight w:val="none"/>
          <w:lang w:val="en-US" w:eastAsia="zh-CN" w:bidi="ar-SA"/>
        </w:rPr>
        <w:t>复原等工作</w:t>
      </w:r>
      <w:r>
        <w:rPr>
          <w:rFonts w:hint="eastAsia" w:ascii="仿宋_GB2312" w:hAnsi="仿宋_GB2312" w:eastAsia="仿宋_GB2312" w:cs="仿宋_GB2312"/>
          <w:b w:val="0"/>
          <w:bCs w:val="0"/>
          <w:color w:val="auto"/>
          <w:spacing w:val="0"/>
          <w:kern w:val="2"/>
          <w:sz w:val="28"/>
          <w:szCs w:val="28"/>
          <w:highlight w:val="none"/>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562" w:firstLineChars="200"/>
        <w:jc w:val="left"/>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服务期限</w:t>
      </w:r>
    </w:p>
    <w:p>
      <w:pPr>
        <w:pStyle w:val="2"/>
        <w:rPr>
          <w:rFonts w:hint="eastAsia" w:ascii="仿宋_GB2312" w:hAnsi="仿宋_GB2312" w:eastAsia="仿宋_GB2312" w:cs="仿宋_GB2312"/>
          <w:b/>
          <w:bCs/>
          <w:color w:val="auto"/>
          <w:sz w:val="44"/>
          <w:szCs w:val="44"/>
          <w:highlight w:val="yellow"/>
          <w:lang w:val="en-US" w:eastAsia="zh-CN"/>
        </w:rPr>
      </w:pPr>
      <w:r>
        <w:rPr>
          <w:rFonts w:hint="eastAsia" w:ascii="仿宋_GB2312" w:hAnsi="仿宋_GB2312" w:eastAsia="仿宋_GB2312" w:cs="仿宋_GB2312"/>
          <w:color w:val="auto"/>
          <w:sz w:val="28"/>
          <w:szCs w:val="28"/>
          <w:lang w:val="en-US" w:eastAsia="zh-CN"/>
        </w:rPr>
        <w:t xml:space="preserve">    本项目履行期限为：</w:t>
      </w:r>
      <w:r>
        <w:rPr>
          <w:rFonts w:hint="eastAsia" w:ascii="仿宋_GB2312" w:hAnsi="仿宋_GB2312" w:eastAsia="仿宋_GB2312" w:cs="仿宋_GB2312"/>
          <w:color w:val="auto"/>
          <w:sz w:val="28"/>
          <w:szCs w:val="28"/>
          <w:highlight w:val="none"/>
          <w:lang w:val="en-US" w:eastAsia="zh-CN"/>
        </w:rPr>
        <w:t>自合同签订生效之日起至</w:t>
      </w:r>
      <w:r>
        <w:rPr>
          <w:rFonts w:hint="eastAsia" w:ascii="仿宋_GB2312" w:eastAsia="仿宋_GB2312" w:cs="仿宋_GB2312"/>
          <w:color w:val="auto"/>
          <w:sz w:val="28"/>
          <w:szCs w:val="28"/>
          <w:highlight w:val="none"/>
          <w:lang w:val="en-US" w:eastAsia="zh-CN"/>
        </w:rPr>
        <w:t>园博会活动结束清场结束</w:t>
      </w:r>
      <w:r>
        <w:rPr>
          <w:rFonts w:hint="eastAsia" w:ascii="仿宋_GB2312" w:hAnsi="仿宋_GB2312" w:eastAsia="仿宋_GB2312" w:cs="仿宋_GB2312"/>
          <w:color w:val="auto"/>
          <w:sz w:val="28"/>
          <w:szCs w:val="28"/>
          <w:highlight w:val="none"/>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562" w:firstLineChars="200"/>
        <w:jc w:val="left"/>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采购预算及报价形式：</w:t>
      </w:r>
    </w:p>
    <w:p>
      <w:pPr>
        <w:pStyle w:val="2"/>
        <w:numPr>
          <w:ilvl w:val="0"/>
          <w:numId w:val="3"/>
        </w:numPr>
        <w:ind w:firstLine="562" w:firstLineChars="200"/>
        <w:rPr>
          <w:rFonts w:hint="eastAsia" w:ascii="仿宋_GB2312" w:hAnsi="仿宋_GB2312" w:eastAsia="仿宋_GB2312" w:cs="仿宋_GB2312"/>
          <w:color w:val="auto"/>
          <w:kern w:val="0"/>
          <w:sz w:val="28"/>
          <w:szCs w:val="28"/>
          <w:highlight w:val="none"/>
          <w:lang w:val="en-US" w:eastAsia="zh-CN" w:bidi="ar"/>
        </w:rPr>
      </w:pPr>
      <w:r>
        <w:rPr>
          <w:rFonts w:hint="eastAsia" w:ascii="仿宋_GB2312" w:eastAsia="仿宋_GB2312" w:cs="仿宋_GB2312"/>
          <w:b/>
          <w:bCs/>
          <w:color w:val="auto"/>
          <w:sz w:val="28"/>
          <w:szCs w:val="28"/>
          <w:highlight w:val="none"/>
          <w:lang w:val="en-US" w:eastAsia="zh-CN"/>
        </w:rPr>
        <w:t>采购预算：</w:t>
      </w:r>
      <w:r>
        <w:rPr>
          <w:rFonts w:hint="eastAsia" w:ascii="仿宋_GB2312" w:eastAsia="仿宋_GB2312" w:cs="仿宋_GB2312"/>
          <w:color w:val="auto"/>
          <w:sz w:val="28"/>
          <w:szCs w:val="28"/>
          <w:highlight w:val="none"/>
          <w:lang w:val="en-US" w:eastAsia="zh-CN"/>
        </w:rPr>
        <w:t>人民币陆拾万元整</w:t>
      </w:r>
      <w:r>
        <w:rPr>
          <w:rFonts w:hint="eastAsia" w:ascii="仿宋_GB2312" w:hAnsi="仿宋_GB2312" w:eastAsia="仿宋_GB2312" w:cs="仿宋_GB2312"/>
          <w:b w:val="0"/>
          <w:bCs/>
          <w:color w:val="auto"/>
          <w:sz w:val="28"/>
          <w:szCs w:val="28"/>
          <w:u w:val="none"/>
          <w:lang w:val="en-US" w:eastAsia="zh-CN"/>
        </w:rPr>
        <w:t>（</w:t>
      </w:r>
      <w:r>
        <w:rPr>
          <w:rFonts w:hint="eastAsia" w:ascii="仿宋_GB2312" w:eastAsia="仿宋_GB2312" w:cs="仿宋_GB2312"/>
          <w:b w:val="0"/>
          <w:bCs/>
          <w:color w:val="auto"/>
          <w:sz w:val="28"/>
          <w:szCs w:val="28"/>
          <w:u w:val="none"/>
          <w:lang w:val="en-US" w:eastAsia="zh-CN"/>
        </w:rPr>
        <w:t>￥60</w:t>
      </w:r>
      <w:r>
        <w:rPr>
          <w:rFonts w:hint="eastAsia" w:ascii="仿宋_GB2312" w:hAnsi="仿宋_GB2312" w:eastAsia="仿宋_GB2312" w:cs="仿宋_GB2312"/>
          <w:b w:val="0"/>
          <w:bCs/>
          <w:color w:val="auto"/>
          <w:sz w:val="28"/>
          <w:szCs w:val="28"/>
          <w:u w:val="none"/>
          <w:lang w:val="en-US" w:eastAsia="zh-CN"/>
        </w:rPr>
        <w:t>0,000.00）。</w:t>
      </w:r>
    </w:p>
    <w:p>
      <w:pPr>
        <w:pStyle w:val="2"/>
        <w:numPr>
          <w:ilvl w:val="0"/>
          <w:numId w:val="3"/>
        </w:numPr>
        <w:ind w:firstLine="562" w:firstLineChars="200"/>
        <w:rPr>
          <w:rFonts w:hint="eastAsia" w:ascii="仿宋_GB2312" w:eastAsia="仿宋_GB2312" w:cs="仿宋_GB2312"/>
          <w:b w:val="0"/>
          <w:bCs w:val="0"/>
          <w:color w:val="auto"/>
          <w:sz w:val="28"/>
          <w:szCs w:val="28"/>
          <w:highlight w:val="none"/>
          <w:lang w:val="en-US" w:eastAsia="zh-CN"/>
        </w:rPr>
      </w:pPr>
      <w:r>
        <w:rPr>
          <w:rFonts w:hint="eastAsia" w:ascii="仿宋_GB2312" w:eastAsia="仿宋_GB2312" w:cs="仿宋_GB2312"/>
          <w:b/>
          <w:bCs/>
          <w:color w:val="auto"/>
          <w:sz w:val="28"/>
          <w:szCs w:val="28"/>
          <w:highlight w:val="none"/>
          <w:lang w:val="en-US" w:eastAsia="zh-CN"/>
        </w:rPr>
        <w:t>报价形式：</w:t>
      </w:r>
      <w:r>
        <w:rPr>
          <w:rFonts w:hint="eastAsia" w:ascii="仿宋_GB2312" w:eastAsia="仿宋_GB2312" w:cs="仿宋_GB2312"/>
          <w:b w:val="0"/>
          <w:bCs w:val="0"/>
          <w:color w:val="auto"/>
          <w:sz w:val="28"/>
          <w:szCs w:val="28"/>
          <w:highlight w:val="none"/>
          <w:lang w:val="en-US" w:eastAsia="zh-CN"/>
        </w:rPr>
        <w:t>本项目采用总价包干形式，报价应包含为完成本需求书所列全部服务内容所需的一切费用，包括但不限于：设计费、知识产权、人工费、材料费、差旅费、食宿费、交通费、通讯费、设备费、预算包干费、管理费、利润、国家现行税金、规费、国家强制性收费及合同所包含的所有风险和不可预见费用、责任及采购人的要求等中标人完成本合同所产生的全部费用。</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562" w:firstLineChars="200"/>
        <w:jc w:val="left"/>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服务内容及要求</w:t>
      </w:r>
    </w:p>
    <w:p>
      <w:pPr>
        <w:pStyle w:val="2"/>
        <w:numPr>
          <w:ilvl w:val="-1"/>
          <w:numId w:val="0"/>
        </w:numPr>
        <w:ind w:firstLine="560" w:firstLineChars="200"/>
        <w:jc w:val="left"/>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本次</w:t>
      </w:r>
      <w:r>
        <w:rPr>
          <w:rFonts w:hint="eastAsia" w:ascii="仿宋_GB2312" w:eastAsia="仿宋_GB2312" w:cs="仿宋_GB2312"/>
          <w:color w:val="auto"/>
          <w:sz w:val="28"/>
          <w:szCs w:val="28"/>
          <w:lang w:val="en-US" w:eastAsia="zh-CN"/>
        </w:rPr>
        <w:t>园博会</w:t>
      </w:r>
      <w:r>
        <w:rPr>
          <w:rFonts w:hint="eastAsia" w:ascii="仿宋_GB2312" w:hAnsi="仿宋_GB2312" w:eastAsia="仿宋_GB2312" w:cs="仿宋_GB2312"/>
          <w:color w:val="auto"/>
          <w:sz w:val="28"/>
          <w:szCs w:val="28"/>
          <w:lang w:val="en-US" w:eastAsia="zh-CN"/>
        </w:rPr>
        <w:t>地点在</w:t>
      </w:r>
      <w:r>
        <w:rPr>
          <w:rFonts w:hint="eastAsia" w:ascii="仿宋_GB2312" w:eastAsia="仿宋_GB2312" w:cs="仿宋_GB2312"/>
          <w:color w:val="auto"/>
          <w:sz w:val="28"/>
          <w:szCs w:val="28"/>
          <w:lang w:val="en-US" w:eastAsia="zh-CN"/>
        </w:rPr>
        <w:t>广州市黄埔区融德里主展区，占地约25×20m，</w:t>
      </w:r>
      <w:r>
        <w:rPr>
          <w:rFonts w:hint="eastAsia" w:ascii="仿宋_GB2312" w:hAnsi="仿宋_GB2312" w:eastAsia="仿宋_GB2312" w:cs="仿宋_GB2312"/>
          <w:color w:val="auto"/>
          <w:sz w:val="28"/>
          <w:szCs w:val="28"/>
          <w:lang w:val="en-US" w:eastAsia="zh-CN"/>
        </w:rPr>
        <w:t>布展</w:t>
      </w:r>
      <w:r>
        <w:rPr>
          <w:rFonts w:hint="eastAsia" w:ascii="仿宋_GB2312" w:eastAsia="仿宋_GB2312" w:cs="仿宋_GB2312"/>
          <w:color w:val="auto"/>
          <w:sz w:val="28"/>
          <w:szCs w:val="28"/>
          <w:lang w:val="en-US" w:eastAsia="zh-CN"/>
        </w:rPr>
        <w:t>进场</w:t>
      </w:r>
      <w:r>
        <w:rPr>
          <w:rFonts w:hint="eastAsia" w:ascii="仿宋_GB2312" w:hAnsi="仿宋_GB2312" w:eastAsia="仿宋_GB2312" w:cs="仿宋_GB2312"/>
          <w:color w:val="auto"/>
          <w:sz w:val="28"/>
          <w:szCs w:val="28"/>
          <w:lang w:val="en-US" w:eastAsia="zh-CN"/>
        </w:rPr>
        <w:t>时间暂定为2026年</w:t>
      </w:r>
      <w:r>
        <w:rPr>
          <w:rFonts w:hint="eastAsia" w:ascii="仿宋_GB2312" w:eastAsia="仿宋_GB2312" w:cs="仿宋_GB2312"/>
          <w:color w:val="auto"/>
          <w:sz w:val="28"/>
          <w:szCs w:val="28"/>
          <w:lang w:val="en-US" w:eastAsia="zh-CN"/>
        </w:rPr>
        <w:t>10</w:t>
      </w:r>
      <w:r>
        <w:rPr>
          <w:rFonts w:hint="eastAsia" w:ascii="仿宋_GB2312" w:hAnsi="仿宋_GB2312" w:eastAsia="仿宋_GB2312" w:cs="仿宋_GB2312"/>
          <w:color w:val="auto"/>
          <w:sz w:val="28"/>
          <w:szCs w:val="28"/>
          <w:lang w:val="en-US" w:eastAsia="zh-CN"/>
        </w:rPr>
        <w:t>月</w:t>
      </w:r>
      <w:r>
        <w:rPr>
          <w:rFonts w:hint="eastAsia" w:ascii="仿宋_GB2312" w:eastAsia="仿宋_GB2312" w:cs="仿宋_GB2312"/>
          <w:color w:val="auto"/>
          <w:sz w:val="28"/>
          <w:szCs w:val="28"/>
          <w:lang w:val="en-US" w:eastAsia="zh-CN"/>
        </w:rPr>
        <w:t>25</w:t>
      </w:r>
      <w:r>
        <w:rPr>
          <w:rFonts w:hint="eastAsia" w:ascii="仿宋_GB2312" w:hAnsi="仿宋_GB2312" w:eastAsia="仿宋_GB2312" w:cs="仿宋_GB2312"/>
          <w:color w:val="auto"/>
          <w:sz w:val="28"/>
          <w:szCs w:val="28"/>
          <w:lang w:val="en-US" w:eastAsia="zh-CN"/>
        </w:rPr>
        <w:t>日</w:t>
      </w:r>
      <w:r>
        <w:rPr>
          <w:rFonts w:hint="eastAsia" w:ascii="仿宋_GB2312" w:eastAsia="仿宋_GB2312" w:cs="仿宋_GB2312"/>
          <w:color w:val="auto"/>
          <w:sz w:val="28"/>
          <w:szCs w:val="28"/>
          <w:lang w:val="en-US" w:eastAsia="zh-CN"/>
        </w:rPr>
        <w:t>，所有搭建及布置工作须在2026年11月15日下午五时前全部完工，达到开园标准，上述时间以采购人具体通知为准。</w:t>
      </w:r>
    </w:p>
    <w:p>
      <w:pPr>
        <w:pStyle w:val="2"/>
        <w:numPr>
          <w:ilvl w:val="0"/>
          <w:numId w:val="4"/>
        </w:numPr>
        <w:ind w:firstLine="697" w:firstLineChars="249"/>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设计要求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投标人须提供完整的展园设计方案，方案需契合第33届广州园林博览会湾区花园设计方向及布展要求，深度融合横琴地域特质，统筹全维度设计细节，具体要求如下：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b w:val="0"/>
          <w:bCs w:val="0"/>
          <w:color w:val="auto"/>
          <w:spacing w:val="0"/>
          <w:kern w:val="2"/>
          <w:sz w:val="28"/>
          <w:szCs w:val="28"/>
          <w:lang w:val="en-US" w:eastAsia="zh-CN" w:bidi="ar-SA"/>
        </w:rPr>
      </w:pPr>
      <w:r>
        <w:rPr>
          <w:rFonts w:hint="eastAsia" w:ascii="仿宋_GB2312" w:hAnsi="仿宋_GB2312" w:eastAsia="仿宋_GB2312" w:cs="仿宋_GB2312"/>
          <w:b w:val="0"/>
          <w:bCs w:val="0"/>
          <w:color w:val="auto"/>
          <w:spacing w:val="0"/>
          <w:kern w:val="2"/>
          <w:sz w:val="28"/>
          <w:szCs w:val="28"/>
          <w:lang w:val="en-US" w:eastAsia="zh-CN" w:bidi="ar-SA"/>
        </w:rPr>
        <w:t>1、设计理念应突出国际化议题表达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default"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整体设计锚定气候变化应对、生物多样性保护、公众健康等全球性议题。参照《2030年可持续发展议程》目标11（SDG11）、《生物多样性公约》、《森林康养国际标准（GSFTP-001:2025）》等国际前沿理论指引，运用园林艺术语言将横琴生态禀赋、琴澳融合文化、低碳可持续生态价值有机融合，打造兼具国际视野、湾区特色、疗愈属性的沉浸式花园，主题主线为把自然带回家——琴澳之家，共建未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b w:val="0"/>
          <w:bCs w:val="0"/>
          <w:color w:val="auto"/>
          <w:spacing w:val="0"/>
          <w:kern w:val="2"/>
          <w:sz w:val="28"/>
          <w:szCs w:val="28"/>
          <w:lang w:val="en-US" w:eastAsia="zh-CN" w:bidi="ar-SA"/>
        </w:rPr>
      </w:pPr>
      <w:r>
        <w:rPr>
          <w:rFonts w:hint="eastAsia" w:ascii="仿宋_GB2312" w:hAnsi="仿宋_GB2312" w:eastAsia="仿宋_GB2312" w:cs="仿宋_GB2312"/>
          <w:b w:val="0"/>
          <w:bCs w:val="0"/>
          <w:color w:val="auto"/>
          <w:spacing w:val="0"/>
          <w:kern w:val="2"/>
          <w:sz w:val="28"/>
          <w:szCs w:val="28"/>
          <w:lang w:val="en-US" w:eastAsia="zh-CN" w:bidi="ar-SA"/>
        </w:rPr>
        <w:t>2、落地基于自然解决方案，增强生态功能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展园应采用基于自然的解决方案（NbS），以自然修复为核心营建逻辑，构建稳定乡土植物群落，配套雨水花园、生态缓坡滩涂水景等海绵景观；严控硬质铺装占比，削减高耗水人工水景，依托地形、植被提升场地碳汇、生物栖息、微气候调节能力；优先选用可回收、低碳环保建材，最大化降低展会期间运维能耗。</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_GB2312" w:hAnsi="仿宋_GB2312" w:eastAsia="仿宋_GB2312" w:cs="仿宋_GB2312"/>
          <w:b w:val="0"/>
          <w:bCs w:val="0"/>
          <w:color w:val="auto"/>
          <w:spacing w:val="0"/>
          <w:kern w:val="2"/>
          <w:sz w:val="28"/>
          <w:szCs w:val="28"/>
          <w:lang w:val="en-US" w:eastAsia="zh-CN" w:bidi="ar-SA"/>
        </w:rPr>
      </w:pPr>
      <w:r>
        <w:rPr>
          <w:rFonts w:hint="eastAsia" w:ascii="仿宋_GB2312" w:hAnsi="仿宋_GB2312" w:eastAsia="仿宋_GB2312" w:cs="仿宋_GB2312"/>
          <w:b w:val="0"/>
          <w:bCs w:val="0"/>
          <w:color w:val="auto"/>
          <w:spacing w:val="0"/>
          <w:kern w:val="2"/>
          <w:sz w:val="28"/>
          <w:szCs w:val="28"/>
          <w:lang w:val="en-US" w:eastAsia="zh-CN" w:bidi="ar-SA"/>
        </w:rPr>
        <w:t>体现横琴特色，注重空间布局与游览体验，增强互动性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设计需体现横琴地理风貌、生态禀赋、人文历史特质，结合现代展览艺术、可持续花园理念统筹造景。合理规划园路系统。保证多角度观赏体验；园路宽度不低于1.2米，且满足可进入式观赏要求。游览动线简洁顺畅，规避安全死角，存在风险的构筑物、区域做隔离围挡，杜绝游客误入隐患。</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560" w:firstLineChars="200"/>
        <w:jc w:val="left"/>
        <w:textAlignment w:val="auto"/>
        <w:rPr>
          <w:rFonts w:hint="default" w:ascii="仿宋_GB2312" w:hAnsi="仿宋_GB2312" w:eastAsia="仿宋_GB2312" w:cs="仿宋_GB2312"/>
          <w:b w:val="0"/>
          <w:bCs w:val="0"/>
          <w:color w:val="auto"/>
          <w:spacing w:val="0"/>
          <w:kern w:val="2"/>
          <w:sz w:val="28"/>
          <w:szCs w:val="28"/>
          <w:lang w:val="en-US" w:eastAsia="zh-CN" w:bidi="ar-SA"/>
        </w:rPr>
      </w:pPr>
      <w:r>
        <w:rPr>
          <w:rFonts w:hint="eastAsia" w:ascii="仿宋_GB2312" w:hAnsi="仿宋_GB2312" w:eastAsia="仿宋_GB2312" w:cs="仿宋_GB2312"/>
          <w:b w:val="0"/>
          <w:bCs w:val="0"/>
          <w:color w:val="auto"/>
          <w:spacing w:val="0"/>
          <w:kern w:val="2"/>
          <w:sz w:val="28"/>
          <w:szCs w:val="28"/>
          <w:lang w:val="en-US" w:eastAsia="zh-CN" w:bidi="ar-SA"/>
        </w:rPr>
        <w:t>夜景灯光设计，保障夜间景观效果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设计方案须系统规划夜间照明方案，重点对展园入口、标志性景观点、主游览路线、打卡合影点等区域进行灯光氛围营造，通过明暗对比、色彩搭配，可结合设计方案适度采用动态光影效果，增强夜间景观层次感与吸引力。照明设施选型应遵循节能环保原则，优先采用智能控制系统与节能灯具，避免光污染。同时，做好照明设备的安全防护与防水措施，确保用电安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如方案需要调整，中标人须按采购人要求执行，并按采购人最终确定的方案实施。</w:t>
      </w:r>
    </w:p>
    <w:p>
      <w:pPr>
        <w:pStyle w:val="2"/>
        <w:numPr>
          <w:ilvl w:val="0"/>
          <w:numId w:val="4"/>
        </w:numPr>
        <w:ind w:firstLine="697" w:firstLineChars="249"/>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实施要求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left"/>
        <w:textAlignment w:val="auto"/>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中标人应按照采购人审定方案组织实施，结合展区拆迁渣土基底现状优化地形塑形、合理利用场地条件，造园布局、功能合理，选用生长良好，株型优美的植物等，确保观赏效果。实施全过程同步做好苗木养护、成品保护，展会期间及时更换枯萎、倒伏植株，保证最佳观赏效果。园博会活动结束后3日内完成清场复原，并按采购人要求将主体构件及景观小品运回横琴指定地点并完成修复搭建。需特别注意以下场地限制条件：</w:t>
      </w:r>
    </w:p>
    <w:p>
      <w:pPr>
        <w:pStyle w:val="2"/>
        <w:numPr>
          <w:ilvl w:val="0"/>
          <w:numId w:val="0"/>
        </w:numPr>
        <w:ind w:firstLine="560" w:firstLineChars="200"/>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项目位于黄埔区融德里居民区密集区域，全程落实安全文明</w:t>
      </w:r>
      <w:r>
        <w:rPr>
          <w:rFonts w:hint="eastAsia" w:ascii="仿宋_GB2312" w:eastAsia="仿宋_GB2312" w:cs="仿宋_GB2312"/>
          <w:color w:val="auto"/>
          <w:spacing w:val="0"/>
          <w:kern w:val="2"/>
          <w:sz w:val="28"/>
          <w:szCs w:val="28"/>
          <w:lang w:val="en-US" w:eastAsia="zh-CN" w:bidi="ar-SA"/>
        </w:rPr>
        <w:t>现场服务管控及工地</w:t>
      </w:r>
      <w:r>
        <w:rPr>
          <w:rFonts w:hint="eastAsia" w:ascii="仿宋_GB2312" w:hAnsi="仿宋_GB2312" w:eastAsia="仿宋_GB2312" w:cs="仿宋_GB2312"/>
          <w:color w:val="auto"/>
          <w:spacing w:val="0"/>
          <w:kern w:val="2"/>
          <w:sz w:val="28"/>
          <w:szCs w:val="28"/>
          <w:lang w:val="en-US" w:eastAsia="zh-CN" w:bidi="ar-SA"/>
        </w:rPr>
        <w:t>扬尘治理</w:t>
      </w:r>
      <w:r>
        <w:rPr>
          <w:rFonts w:hint="eastAsia" w:ascii="仿宋_GB2312" w:eastAsia="仿宋_GB2312" w:cs="仿宋_GB2312"/>
          <w:color w:val="auto"/>
          <w:spacing w:val="0"/>
          <w:kern w:val="2"/>
          <w:sz w:val="28"/>
          <w:szCs w:val="28"/>
          <w:lang w:val="en-US" w:eastAsia="zh-CN" w:bidi="ar-SA"/>
        </w:rPr>
        <w:t>六个</w:t>
      </w:r>
      <w:r>
        <w:rPr>
          <w:rFonts w:hint="eastAsia" w:ascii="仿宋_GB2312" w:hAnsi="仿宋_GB2312" w:eastAsia="仿宋_GB2312" w:cs="仿宋_GB2312"/>
          <w:color w:val="auto"/>
          <w:spacing w:val="0"/>
          <w:kern w:val="2"/>
          <w:sz w:val="28"/>
          <w:szCs w:val="28"/>
          <w:lang w:val="en-US" w:eastAsia="zh-CN" w:bidi="ar-SA"/>
        </w:rPr>
        <w:t>100%</w:t>
      </w:r>
      <w:r>
        <w:rPr>
          <w:rFonts w:hint="eastAsia" w:ascii="仿宋_GB2312" w:eastAsia="仿宋_GB2312" w:cs="仿宋_GB2312"/>
          <w:color w:val="auto"/>
          <w:spacing w:val="0"/>
          <w:kern w:val="2"/>
          <w:sz w:val="28"/>
          <w:szCs w:val="28"/>
          <w:lang w:val="en-US" w:eastAsia="zh-CN" w:bidi="ar-SA"/>
        </w:rPr>
        <w:t>标准</w:t>
      </w:r>
      <w:r>
        <w:rPr>
          <w:rFonts w:hint="eastAsia" w:ascii="仿宋_GB2312" w:hAnsi="仿宋_GB2312" w:eastAsia="仿宋_GB2312" w:cs="仿宋_GB2312"/>
          <w:color w:val="auto"/>
          <w:spacing w:val="0"/>
          <w:kern w:val="2"/>
          <w:sz w:val="28"/>
          <w:szCs w:val="28"/>
          <w:lang w:val="en-US" w:eastAsia="zh-CN" w:bidi="ar-SA"/>
        </w:rPr>
        <w:t>；严格遵守</w:t>
      </w:r>
      <w:r>
        <w:rPr>
          <w:rFonts w:hint="eastAsia" w:ascii="仿宋_GB2312" w:eastAsia="仿宋_GB2312" w:cs="仿宋_GB2312"/>
          <w:color w:val="auto"/>
          <w:spacing w:val="0"/>
          <w:kern w:val="2"/>
          <w:sz w:val="28"/>
          <w:szCs w:val="28"/>
          <w:lang w:val="en-US" w:eastAsia="zh-CN" w:bidi="ar-SA"/>
        </w:rPr>
        <w:t>城市</w:t>
      </w:r>
      <w:r>
        <w:rPr>
          <w:rFonts w:hint="eastAsia" w:ascii="仿宋_GB2312" w:hAnsi="仿宋_GB2312" w:eastAsia="仿宋_GB2312" w:cs="仿宋_GB2312"/>
          <w:color w:val="auto"/>
          <w:spacing w:val="0"/>
          <w:kern w:val="2"/>
          <w:sz w:val="28"/>
          <w:szCs w:val="28"/>
          <w:lang w:val="en-US" w:eastAsia="zh-CN" w:bidi="ar-SA"/>
        </w:rPr>
        <w:t>噪声管理相关规定，每日22:00至次日6:00禁止</w:t>
      </w:r>
      <w:r>
        <w:rPr>
          <w:rFonts w:hint="eastAsia" w:ascii="仿宋_GB2312" w:eastAsia="仿宋_GB2312" w:cs="仿宋_GB2312"/>
          <w:color w:val="auto"/>
          <w:spacing w:val="0"/>
          <w:kern w:val="2"/>
          <w:sz w:val="28"/>
          <w:szCs w:val="28"/>
          <w:lang w:val="en-US" w:eastAsia="zh-CN" w:bidi="ar-SA"/>
        </w:rPr>
        <w:t>一切</w:t>
      </w:r>
      <w:r>
        <w:rPr>
          <w:rFonts w:hint="eastAsia" w:ascii="仿宋_GB2312" w:hAnsi="仿宋_GB2312" w:eastAsia="仿宋_GB2312" w:cs="仿宋_GB2312"/>
          <w:color w:val="auto"/>
          <w:spacing w:val="0"/>
          <w:kern w:val="2"/>
          <w:sz w:val="28"/>
          <w:szCs w:val="28"/>
          <w:lang w:val="en-US" w:eastAsia="zh-CN" w:bidi="ar-SA"/>
        </w:rPr>
        <w:t>产生噪声污染的</w:t>
      </w:r>
      <w:r>
        <w:rPr>
          <w:rFonts w:hint="eastAsia" w:ascii="仿宋_GB2312" w:eastAsia="仿宋_GB2312" w:cs="仿宋_GB2312"/>
          <w:color w:val="auto"/>
          <w:spacing w:val="0"/>
          <w:kern w:val="2"/>
          <w:sz w:val="28"/>
          <w:szCs w:val="28"/>
          <w:lang w:val="en-US" w:eastAsia="zh-CN" w:bidi="ar-SA"/>
        </w:rPr>
        <w:t>实施</w:t>
      </w:r>
      <w:r>
        <w:rPr>
          <w:rFonts w:hint="eastAsia" w:ascii="仿宋_GB2312" w:hAnsi="仿宋_GB2312" w:eastAsia="仿宋_GB2312" w:cs="仿宋_GB2312"/>
          <w:color w:val="auto"/>
          <w:spacing w:val="0"/>
          <w:kern w:val="2"/>
          <w:sz w:val="28"/>
          <w:szCs w:val="28"/>
          <w:lang w:val="en-US" w:eastAsia="zh-CN" w:bidi="ar-SA"/>
        </w:rPr>
        <w:t>作业。因工艺要求确需夜间施工的，</w:t>
      </w:r>
      <w:r>
        <w:rPr>
          <w:rFonts w:hint="eastAsia" w:ascii="仿宋_GB2312" w:eastAsia="仿宋_GB2312" w:cs="仿宋_GB2312"/>
          <w:color w:val="auto"/>
          <w:spacing w:val="0"/>
          <w:kern w:val="2"/>
          <w:sz w:val="28"/>
          <w:szCs w:val="28"/>
          <w:lang w:val="en-US" w:eastAsia="zh-CN" w:bidi="ar-SA"/>
        </w:rPr>
        <w:t>中标人</w:t>
      </w:r>
      <w:r>
        <w:rPr>
          <w:rFonts w:hint="eastAsia" w:ascii="仿宋_GB2312" w:hAnsi="仿宋_GB2312" w:eastAsia="仿宋_GB2312" w:cs="仿宋_GB2312"/>
          <w:color w:val="auto"/>
          <w:spacing w:val="0"/>
          <w:kern w:val="2"/>
          <w:sz w:val="28"/>
          <w:szCs w:val="28"/>
          <w:lang w:val="en-US" w:eastAsia="zh-CN" w:bidi="ar-SA"/>
        </w:rPr>
        <w:t>须提前办理夜间施工许可手续，并在</w:t>
      </w:r>
      <w:r>
        <w:rPr>
          <w:rFonts w:hint="eastAsia" w:ascii="仿宋_GB2312" w:eastAsia="仿宋_GB2312" w:cs="仿宋_GB2312"/>
          <w:color w:val="auto"/>
          <w:spacing w:val="0"/>
          <w:kern w:val="2"/>
          <w:sz w:val="28"/>
          <w:szCs w:val="28"/>
          <w:lang w:val="en-US" w:eastAsia="zh-CN" w:bidi="ar-SA"/>
        </w:rPr>
        <w:t>围挡醒目位置</w:t>
      </w:r>
      <w:r>
        <w:rPr>
          <w:rFonts w:hint="eastAsia" w:ascii="仿宋_GB2312" w:hAnsi="仿宋_GB2312" w:eastAsia="仿宋_GB2312" w:cs="仿宋_GB2312"/>
          <w:color w:val="auto"/>
          <w:spacing w:val="0"/>
          <w:kern w:val="2"/>
          <w:sz w:val="28"/>
          <w:szCs w:val="28"/>
          <w:lang w:val="en-US" w:eastAsia="zh-CN" w:bidi="ar-SA"/>
        </w:rPr>
        <w:t>公示</w:t>
      </w:r>
      <w:r>
        <w:rPr>
          <w:rFonts w:hint="eastAsia" w:ascii="仿宋_GB2312" w:eastAsia="仿宋_GB2312" w:cs="仿宋_GB2312"/>
          <w:color w:val="auto"/>
          <w:spacing w:val="0"/>
          <w:kern w:val="2"/>
          <w:sz w:val="28"/>
          <w:szCs w:val="28"/>
          <w:lang w:val="en-US" w:eastAsia="zh-CN" w:bidi="ar-SA"/>
        </w:rPr>
        <w:t>施工</w:t>
      </w:r>
      <w:r>
        <w:rPr>
          <w:rFonts w:hint="eastAsia" w:ascii="仿宋_GB2312" w:hAnsi="仿宋_GB2312" w:eastAsia="仿宋_GB2312" w:cs="仿宋_GB2312"/>
          <w:color w:val="auto"/>
          <w:spacing w:val="0"/>
          <w:kern w:val="2"/>
          <w:sz w:val="28"/>
          <w:szCs w:val="28"/>
          <w:lang w:val="en-US" w:eastAsia="zh-CN" w:bidi="ar-SA"/>
        </w:rPr>
        <w:t>公告。</w:t>
      </w:r>
    </w:p>
    <w:p>
      <w:pPr>
        <w:pStyle w:val="2"/>
        <w:numPr>
          <w:ilvl w:val="0"/>
          <w:numId w:val="4"/>
        </w:numPr>
        <w:ind w:left="0" w:leftChars="0" w:firstLine="697" w:firstLineChars="249"/>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安全规范要求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val="0"/>
          <w:bCs w:val="0"/>
          <w:color w:val="auto"/>
          <w:spacing w:val="0"/>
          <w:kern w:val="2"/>
          <w:sz w:val="28"/>
          <w:szCs w:val="28"/>
          <w:lang w:val="en-US" w:eastAsia="zh-CN" w:bidi="ar-SA"/>
        </w:rPr>
        <w:t>1、现场管理：中标人</w:t>
      </w:r>
      <w:r>
        <w:rPr>
          <w:rFonts w:hint="eastAsia" w:ascii="仿宋_GB2312" w:hAnsi="仿宋_GB2312" w:eastAsia="仿宋_GB2312" w:cs="仿宋_GB2312"/>
          <w:color w:val="auto"/>
          <w:sz w:val="28"/>
          <w:szCs w:val="28"/>
          <w:lang w:val="en-US" w:eastAsia="zh-CN"/>
        </w:rPr>
        <w:t>应自觉服从采购人管理，对不符合现场服务管理规范的现场情况，中标人应立即整改。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b w:val="0"/>
          <w:bCs w:val="0"/>
          <w:color w:val="auto"/>
          <w:spacing w:val="0"/>
          <w:kern w:val="2"/>
          <w:sz w:val="28"/>
          <w:szCs w:val="28"/>
          <w:lang w:val="en-US" w:eastAsia="zh-CN" w:bidi="ar-SA"/>
        </w:rPr>
        <w:t>2、人员要求：</w:t>
      </w:r>
      <w:r>
        <w:rPr>
          <w:rFonts w:hint="eastAsia" w:ascii="仿宋_GB2312" w:hAnsi="仿宋_GB2312" w:eastAsia="仿宋_GB2312" w:cs="仿宋_GB2312"/>
          <w:color w:val="auto"/>
          <w:spacing w:val="0"/>
          <w:kern w:val="2"/>
          <w:sz w:val="28"/>
          <w:szCs w:val="28"/>
          <w:lang w:val="en-US" w:eastAsia="zh-CN" w:bidi="ar-SA"/>
        </w:rPr>
        <w:t>中标人从业人员须着装整齐、佩戴工卡上岗，涉及电、焊等专业工序的作业人员必须持证上岗。做到工完场清，文明作业。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b w:val="0"/>
          <w:bCs w:val="0"/>
          <w:color w:val="auto"/>
          <w:spacing w:val="0"/>
          <w:kern w:val="2"/>
          <w:sz w:val="28"/>
          <w:szCs w:val="28"/>
          <w:lang w:val="en-US" w:eastAsia="zh-CN" w:bidi="ar-SA"/>
        </w:rPr>
        <w:t>3、安全保障：</w:t>
      </w:r>
      <w:r>
        <w:rPr>
          <w:rFonts w:hint="eastAsia" w:ascii="仿宋_GB2312" w:hAnsi="仿宋_GB2312" w:eastAsia="仿宋_GB2312" w:cs="仿宋_GB2312"/>
          <w:color w:val="auto"/>
          <w:spacing w:val="0"/>
          <w:kern w:val="2"/>
          <w:sz w:val="28"/>
          <w:szCs w:val="28"/>
          <w:lang w:val="en-US" w:eastAsia="zh-CN" w:bidi="ar-SA"/>
        </w:rPr>
        <w:t>必须切实做好安全工作，加强作业时的安全保障，在任何情况下都要注意安全。</w:t>
      </w:r>
    </w:p>
    <w:p>
      <w:pPr>
        <w:pStyle w:val="2"/>
        <w:numPr>
          <w:ilvl w:val="0"/>
          <w:numId w:val="4"/>
        </w:numPr>
        <w:ind w:left="0" w:leftChars="0" w:firstLine="697" w:firstLineChars="249"/>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人员要求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_GB2312" w:hAnsi="仿宋_GB2312" w:eastAsia="仿宋_GB2312" w:cs="仿宋_GB2312"/>
          <w:color w:val="auto"/>
          <w:spacing w:val="0"/>
          <w:kern w:val="2"/>
          <w:sz w:val="28"/>
          <w:szCs w:val="28"/>
          <w:highlight w:val="no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1、中标人应选派1名具有园林/工程类副高级或以上职称的工程师作为项目负责人。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_GB2312" w:hAnsi="仿宋_GB2312" w:eastAsia="仿宋_GB2312" w:cs="仿宋_GB2312"/>
          <w:color w:val="auto"/>
          <w:spacing w:val="0"/>
          <w:kern w:val="2"/>
          <w:sz w:val="28"/>
          <w:szCs w:val="28"/>
          <w:highlight w:val="no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2、中标人应安排1名具有园林类中级或以上职称的工程师作为本项目技术负责人。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仿宋_GB2312" w:hAnsi="仿宋_GB2312" w:eastAsia="仿宋_GB2312" w:cs="仿宋_GB2312"/>
          <w:color w:val="auto"/>
          <w:spacing w:val="0"/>
          <w:kern w:val="2"/>
          <w:sz w:val="28"/>
          <w:szCs w:val="28"/>
          <w:highlight w:val="none"/>
          <w:lang w:val="en-US" w:eastAsia="zh-CN" w:bidi="ar-SA"/>
        </w:rPr>
      </w:pPr>
      <w:r>
        <w:rPr>
          <w:rFonts w:hint="eastAsia" w:ascii="仿宋_GB2312" w:hAnsi="仿宋_GB2312" w:eastAsia="仿宋_GB2312" w:cs="仿宋_GB2312"/>
          <w:color w:val="auto"/>
          <w:spacing w:val="0"/>
          <w:kern w:val="2"/>
          <w:sz w:val="28"/>
          <w:szCs w:val="28"/>
          <w:highlight w:val="none"/>
          <w:lang w:val="en-US" w:eastAsia="zh-CN" w:bidi="ar-SA"/>
        </w:rPr>
        <w:t>3、其他人员配置：拟投入本项目的管理人员中应包括但不限于植物学或农学相关专业工程师1名、电工1名、安全员1名、资料员1名。</w:t>
      </w:r>
    </w:p>
    <w:p>
      <w:pPr>
        <w:pStyle w:val="2"/>
        <w:spacing w:line="360" w:lineRule="auto"/>
        <w:ind w:firstLine="560" w:firstLineChars="200"/>
        <w:rPr>
          <w:rFonts w:hint="eastAsia" w:ascii="仿宋_GB2312" w:hAnsi="仿宋_GB2312" w:eastAsia="仿宋_GB2312" w:cs="仿宋_GB2312"/>
          <w:color w:val="auto"/>
          <w:spacing w:val="0"/>
          <w:kern w:val="2"/>
          <w:sz w:val="28"/>
          <w:szCs w:val="28"/>
          <w:lang w:val="en-US" w:eastAsia="zh-CN" w:bidi="ar-SA"/>
        </w:rPr>
      </w:pPr>
      <w:r>
        <w:rPr>
          <w:rFonts w:hint="eastAsia" w:ascii="仿宋_GB2312" w:eastAsia="仿宋_GB2312" w:cs="仿宋_GB2312"/>
          <w:color w:val="auto"/>
          <w:spacing w:val="0"/>
          <w:kern w:val="2"/>
          <w:sz w:val="28"/>
          <w:szCs w:val="28"/>
          <w:highlight w:val="none"/>
          <w:lang w:val="en-US" w:eastAsia="zh-CN" w:bidi="ar-SA"/>
        </w:rPr>
        <w:t>中标人须</w:t>
      </w:r>
      <w:r>
        <w:rPr>
          <w:rFonts w:hint="eastAsia" w:ascii="仿宋_GB2312" w:hAnsi="仿宋_GB2312" w:eastAsia="仿宋_GB2312" w:cs="仿宋_GB2312"/>
          <w:color w:val="auto"/>
          <w:spacing w:val="0"/>
          <w:kern w:val="2"/>
          <w:sz w:val="28"/>
          <w:szCs w:val="28"/>
          <w:highlight w:val="none"/>
          <w:lang w:val="en-US" w:eastAsia="zh-CN" w:bidi="ar-SA"/>
        </w:rPr>
        <w:t>根据项目的</w:t>
      </w:r>
      <w:r>
        <w:rPr>
          <w:rFonts w:hint="eastAsia" w:ascii="仿宋_GB2312" w:eastAsia="仿宋_GB2312" w:cs="仿宋_GB2312"/>
          <w:color w:val="auto"/>
          <w:spacing w:val="0"/>
          <w:kern w:val="2"/>
          <w:sz w:val="28"/>
          <w:szCs w:val="28"/>
          <w:lang w:val="en-US" w:eastAsia="zh-CN" w:bidi="ar-SA"/>
        </w:rPr>
        <w:t>全周期服务</w:t>
      </w:r>
      <w:r>
        <w:rPr>
          <w:rFonts w:hint="eastAsia" w:ascii="仿宋_GB2312" w:hAnsi="仿宋_GB2312" w:eastAsia="仿宋_GB2312" w:cs="仿宋_GB2312"/>
          <w:color w:val="auto"/>
          <w:spacing w:val="0"/>
          <w:kern w:val="2"/>
          <w:sz w:val="28"/>
          <w:szCs w:val="28"/>
          <w:lang w:val="en-US" w:eastAsia="zh-CN" w:bidi="ar-SA"/>
        </w:rPr>
        <w:t>需求，配置足够的人员及设备，</w:t>
      </w:r>
      <w:r>
        <w:rPr>
          <w:rFonts w:hint="eastAsia" w:ascii="仿宋_GB2312" w:eastAsia="仿宋_GB2312" w:cs="仿宋_GB2312"/>
          <w:color w:val="auto"/>
          <w:spacing w:val="0"/>
          <w:kern w:val="2"/>
          <w:sz w:val="28"/>
          <w:szCs w:val="28"/>
          <w:lang w:val="en-US" w:eastAsia="zh-CN" w:bidi="ar-SA"/>
        </w:rPr>
        <w:t>按要求</w:t>
      </w:r>
      <w:r>
        <w:rPr>
          <w:rFonts w:hint="eastAsia" w:ascii="仿宋_GB2312" w:hAnsi="仿宋_GB2312" w:eastAsia="仿宋_GB2312" w:cs="仿宋_GB2312"/>
          <w:color w:val="auto"/>
          <w:spacing w:val="0"/>
          <w:kern w:val="2"/>
          <w:sz w:val="28"/>
          <w:szCs w:val="28"/>
          <w:lang w:val="en-US" w:eastAsia="zh-CN" w:bidi="ar-SA"/>
        </w:rPr>
        <w:t>根据施工进</w:t>
      </w:r>
      <w:r>
        <w:rPr>
          <w:rFonts w:hint="eastAsia" w:ascii="仿宋_GB2312" w:eastAsia="仿宋_GB2312" w:cs="仿宋_GB2312"/>
          <w:color w:val="auto"/>
          <w:spacing w:val="0"/>
          <w:kern w:val="2"/>
          <w:sz w:val="28"/>
          <w:szCs w:val="28"/>
          <w:lang w:val="en-US" w:eastAsia="zh-CN" w:bidi="ar-SA"/>
        </w:rPr>
        <w:t>度动态合</w:t>
      </w:r>
      <w:r>
        <w:rPr>
          <w:rFonts w:hint="eastAsia" w:ascii="仿宋_GB2312" w:hAnsi="仿宋_GB2312" w:eastAsia="仿宋_GB2312" w:cs="仿宋_GB2312"/>
          <w:color w:val="auto"/>
          <w:spacing w:val="0"/>
          <w:kern w:val="2"/>
          <w:sz w:val="28"/>
          <w:szCs w:val="28"/>
          <w:lang w:val="en-US" w:eastAsia="zh-CN" w:bidi="ar-SA"/>
        </w:rPr>
        <w:t>理调配，确保</w:t>
      </w:r>
      <w:r>
        <w:rPr>
          <w:rFonts w:hint="eastAsia" w:ascii="仿宋_GB2312" w:eastAsia="仿宋_GB2312" w:cs="仿宋_GB2312"/>
          <w:color w:val="auto"/>
          <w:spacing w:val="0"/>
          <w:kern w:val="2"/>
          <w:sz w:val="28"/>
          <w:szCs w:val="28"/>
          <w:lang w:val="en-US" w:eastAsia="zh-CN" w:bidi="ar-SA"/>
        </w:rPr>
        <w:t>各工期节点全部按期完成</w:t>
      </w:r>
      <w:r>
        <w:rPr>
          <w:rFonts w:hint="eastAsia" w:ascii="仿宋_GB2312" w:hAnsi="仿宋_GB2312" w:eastAsia="仿宋_GB2312" w:cs="仿宋_GB2312"/>
          <w:color w:val="auto"/>
          <w:spacing w:val="0"/>
          <w:kern w:val="2"/>
          <w:sz w:val="28"/>
          <w:szCs w:val="28"/>
          <w:lang w:val="en-US" w:eastAsia="zh-CN" w:bidi="ar-SA"/>
        </w:rPr>
        <w:t>。</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562" w:firstLineChars="200"/>
        <w:jc w:val="left"/>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服务标准</w:t>
      </w:r>
    </w:p>
    <w:p>
      <w:pPr>
        <w:pStyle w:val="2"/>
        <w:ind w:firstLine="560" w:firstLineChars="200"/>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1、设计方案必须符合</w:t>
      </w:r>
      <w:r>
        <w:rPr>
          <w:rFonts w:hint="eastAsia" w:ascii="仿宋_GB2312" w:eastAsia="仿宋_GB2312" w:cs="仿宋_GB2312"/>
          <w:color w:val="auto"/>
          <w:spacing w:val="0"/>
          <w:kern w:val="2"/>
          <w:sz w:val="28"/>
          <w:szCs w:val="28"/>
          <w:lang w:val="en-US" w:eastAsia="zh-CN" w:bidi="ar-SA"/>
        </w:rPr>
        <w:t>园博会要求</w:t>
      </w:r>
      <w:r>
        <w:rPr>
          <w:rFonts w:hint="eastAsia" w:ascii="仿宋_GB2312" w:hAnsi="仿宋_GB2312" w:eastAsia="仿宋_GB2312" w:cs="仿宋_GB2312"/>
          <w:color w:val="auto"/>
          <w:spacing w:val="0"/>
          <w:kern w:val="2"/>
          <w:sz w:val="28"/>
          <w:szCs w:val="28"/>
          <w:lang w:val="en-US" w:eastAsia="zh-CN" w:bidi="ar-SA"/>
        </w:rPr>
        <w:t>，贴合横琴粤澳深度合作区实际特点，设计方案须内容详尽、工艺可行、比例</w:t>
      </w:r>
      <w:r>
        <w:rPr>
          <w:rFonts w:hint="eastAsia" w:ascii="仿宋_GB2312" w:eastAsia="仿宋_GB2312" w:cs="仿宋_GB2312"/>
          <w:color w:val="auto"/>
          <w:spacing w:val="0"/>
          <w:kern w:val="2"/>
          <w:sz w:val="28"/>
          <w:szCs w:val="28"/>
          <w:lang w:val="en-US" w:eastAsia="zh-CN" w:bidi="ar-SA"/>
        </w:rPr>
        <w:t>协调</w:t>
      </w:r>
      <w:r>
        <w:rPr>
          <w:rFonts w:hint="eastAsia" w:ascii="仿宋_GB2312" w:hAnsi="仿宋_GB2312" w:eastAsia="仿宋_GB2312" w:cs="仿宋_GB2312"/>
          <w:color w:val="auto"/>
          <w:spacing w:val="0"/>
          <w:kern w:val="2"/>
          <w:sz w:val="28"/>
          <w:szCs w:val="28"/>
          <w:lang w:val="en-US" w:eastAsia="zh-CN" w:bidi="ar-SA"/>
        </w:rPr>
        <w:t>、效果直观。</w:t>
      </w:r>
    </w:p>
    <w:p>
      <w:pPr>
        <w:pStyle w:val="2"/>
        <w:ind w:firstLine="560" w:firstLineChars="200"/>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2、方案提交时间及工期满足服务要求，不得延误。</w:t>
      </w:r>
    </w:p>
    <w:p>
      <w:pPr>
        <w:pStyle w:val="2"/>
        <w:ind w:firstLine="560" w:firstLineChars="200"/>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3、严格按照审定的设计方案和合同要求完成</w:t>
      </w:r>
      <w:r>
        <w:rPr>
          <w:rFonts w:hint="eastAsia" w:ascii="仿宋_GB2312" w:eastAsia="仿宋_GB2312" w:cs="仿宋_GB2312"/>
          <w:color w:val="auto"/>
          <w:spacing w:val="0"/>
          <w:kern w:val="2"/>
          <w:sz w:val="28"/>
          <w:szCs w:val="28"/>
          <w:lang w:val="en-US" w:eastAsia="zh-CN" w:bidi="ar-SA"/>
        </w:rPr>
        <w:t>服务</w:t>
      </w:r>
      <w:r>
        <w:rPr>
          <w:rFonts w:hint="eastAsia" w:ascii="仿宋_GB2312" w:hAnsi="仿宋_GB2312" w:eastAsia="仿宋_GB2312" w:cs="仿宋_GB2312"/>
          <w:color w:val="auto"/>
          <w:spacing w:val="0"/>
          <w:kern w:val="2"/>
          <w:sz w:val="28"/>
          <w:szCs w:val="28"/>
          <w:lang w:val="en-US" w:eastAsia="zh-CN" w:bidi="ar-SA"/>
        </w:rPr>
        <w:t>，保证成品效果达到设计要求。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4、项目所需各类材料必须满足园博会举办要求，符合国家强制性质量标准。向日葵、鼠尾草花期稳定覆盖展期，无病虫害、大面积枯黄、缺株露土情况。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color w:val="auto"/>
          <w:spacing w:val="0"/>
          <w:kern w:val="2"/>
          <w:sz w:val="28"/>
          <w:szCs w:val="28"/>
          <w:lang w:val="en-US" w:eastAsia="zh-CN" w:bidi="ar-SA"/>
        </w:rPr>
        <w:t>5、项目全流程现场服务须落实安全生产管理，全程不留任何安全隐患。</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562" w:firstLineChars="200"/>
        <w:jc w:val="left"/>
        <w:textAlignment w:val="auto"/>
        <w:rPr>
          <w:rFonts w:hint="eastAsia" w:ascii="仿宋_GB2312" w:hAnsi="仿宋_GB2312" w:eastAsia="仿宋_GB2312" w:cs="仿宋_GB2312"/>
          <w:b/>
          <w:bCs/>
          <w:color w:val="auto"/>
          <w:sz w:val="28"/>
          <w:szCs w:val="28"/>
          <w:lang w:val="en-US" w:eastAsia="zh-CN"/>
        </w:rPr>
      </w:pPr>
      <w:r>
        <w:rPr>
          <w:rFonts w:hint="eastAsia" w:ascii="仿宋_GB2312" w:hAnsi="仿宋_GB2312" w:eastAsia="仿宋_GB2312" w:cs="仿宋_GB2312"/>
          <w:b/>
          <w:bCs/>
          <w:color w:val="auto"/>
          <w:sz w:val="28"/>
          <w:szCs w:val="28"/>
          <w:lang w:val="en-US" w:eastAsia="zh-CN"/>
        </w:rPr>
        <w:t>联系人</w:t>
      </w:r>
    </w:p>
    <w:p>
      <w:pPr>
        <w:pStyle w:val="2"/>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pacing w:val="0"/>
          <w:kern w:val="2"/>
          <w:sz w:val="28"/>
          <w:szCs w:val="28"/>
          <w:lang w:val="en-US" w:eastAsia="zh-CN" w:bidi="ar-SA"/>
        </w:rPr>
        <w:t xml:space="preserve">     联系人：</w:t>
      </w:r>
      <w:r>
        <w:rPr>
          <w:rFonts w:hint="eastAsia" w:ascii="仿宋_GB2312" w:eastAsia="仿宋_GB2312" w:cs="仿宋_GB2312"/>
          <w:color w:val="auto"/>
          <w:spacing w:val="0"/>
          <w:kern w:val="2"/>
          <w:sz w:val="28"/>
          <w:szCs w:val="28"/>
          <w:lang w:val="en-US" w:eastAsia="zh-CN" w:bidi="ar-SA"/>
        </w:rPr>
        <w:t>涂利平</w:t>
      </w:r>
      <w:r>
        <w:rPr>
          <w:rFonts w:hint="eastAsia" w:ascii="仿宋_GB2312" w:hAnsi="仿宋_GB2312" w:eastAsia="仿宋_GB2312" w:cs="仿宋_GB2312"/>
          <w:color w:val="auto"/>
          <w:spacing w:val="0"/>
          <w:kern w:val="2"/>
          <w:sz w:val="28"/>
          <w:szCs w:val="28"/>
          <w:lang w:val="en-US" w:eastAsia="zh-CN" w:bidi="ar-SA"/>
        </w:rPr>
        <w:t xml:space="preserve">              联系电话：0756-8922972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3920" w:firstLineChars="1400"/>
        <w:jc w:val="left"/>
        <w:textAlignment w:val="auto"/>
        <w:rPr>
          <w:rFonts w:hint="eastAsia" w:ascii="仿宋_GB2312" w:hAnsi="仿宋_GB2312" w:eastAsia="仿宋_GB2312" w:cs="仿宋_GB2312"/>
          <w:color w:val="auto"/>
          <w:spacing w:val="0"/>
          <w:kern w:val="2"/>
          <w:sz w:val="28"/>
          <w:szCs w:val="28"/>
          <w:lang w:val="en-US" w:eastAsia="zh-CN" w:bidi="ar-SA"/>
        </w:rPr>
      </w:pPr>
      <w:r>
        <w:rPr>
          <w:rFonts w:hint="eastAsia" w:ascii="仿宋_GB2312" w:hAnsi="仿宋_GB2312" w:eastAsia="仿宋_GB2312" w:cs="仿宋_GB2312"/>
          <w:color w:val="auto"/>
          <w:spacing w:val="0"/>
          <w:kern w:val="2"/>
          <w:sz w:val="28"/>
          <w:szCs w:val="28"/>
          <w:lang w:val="en-US" w:eastAsia="zh-CN" w:bidi="ar-SA"/>
        </w:rPr>
        <w:t>横琴粤澳深度合作区城市规划和建设局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880" w:firstLineChars="2100"/>
        <w:jc w:val="left"/>
        <w:textAlignment w:val="auto"/>
        <w:rPr>
          <w:rFonts w:hint="eastAsia" w:ascii="仿宋_GB2312" w:hAnsi="仿宋_GB2312" w:eastAsia="仿宋_GB2312" w:cs="仿宋_GB2312"/>
          <w:b/>
          <w:bCs/>
          <w:color w:val="auto"/>
          <w:sz w:val="44"/>
          <w:szCs w:val="44"/>
          <w:lang w:val="en-US" w:eastAsia="zh-CN"/>
        </w:rPr>
      </w:pPr>
      <w:bookmarkStart w:id="0" w:name="_GoBack"/>
      <w:bookmarkEnd w:id="0"/>
      <w:r>
        <w:rPr>
          <w:rFonts w:hint="eastAsia" w:ascii="仿宋_GB2312" w:hAnsi="仿宋_GB2312" w:eastAsia="仿宋_GB2312" w:cs="仿宋_GB2312"/>
          <w:color w:val="auto"/>
          <w:spacing w:val="0"/>
          <w:kern w:val="2"/>
          <w:sz w:val="28"/>
          <w:szCs w:val="28"/>
          <w:lang w:val="en-US" w:eastAsia="zh-CN" w:bidi="ar-SA"/>
        </w:rPr>
        <w:t>2026年8月6日</w:t>
      </w:r>
    </w:p>
    <w:sectPr>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8AE393"/>
    <w:multiLevelType w:val="singleLevel"/>
    <w:tmpl w:val="E28AE393"/>
    <w:lvl w:ilvl="0" w:tentative="0">
      <w:start w:val="1"/>
      <w:numFmt w:val="chineseCounting"/>
      <w:suff w:val="nothing"/>
      <w:lvlText w:val="（%1）"/>
      <w:lvlJc w:val="left"/>
      <w:rPr>
        <w:rFonts w:hint="eastAsia"/>
      </w:rPr>
    </w:lvl>
  </w:abstractNum>
  <w:abstractNum w:abstractNumId="1">
    <w:nsid w:val="20BEDD6A"/>
    <w:multiLevelType w:val="singleLevel"/>
    <w:tmpl w:val="20BEDD6A"/>
    <w:lvl w:ilvl="0" w:tentative="0">
      <w:start w:val="1"/>
      <w:numFmt w:val="decimal"/>
      <w:suff w:val="nothing"/>
      <w:lvlText w:val="%1、"/>
      <w:lvlJc w:val="left"/>
      <w:rPr>
        <w:rFonts w:hint="default"/>
        <w:b/>
        <w:bCs/>
      </w:rPr>
    </w:lvl>
  </w:abstractNum>
  <w:abstractNum w:abstractNumId="2">
    <w:nsid w:val="483932B1"/>
    <w:multiLevelType w:val="singleLevel"/>
    <w:tmpl w:val="483932B1"/>
    <w:lvl w:ilvl="0" w:tentative="0">
      <w:start w:val="1"/>
      <w:numFmt w:val="chineseCounting"/>
      <w:suff w:val="nothing"/>
      <w:lvlText w:val="%1、"/>
      <w:lvlJc w:val="left"/>
      <w:rPr>
        <w:rFonts w:hint="eastAsia"/>
      </w:rPr>
    </w:lvl>
  </w:abstractNum>
  <w:abstractNum w:abstractNumId="3">
    <w:nsid w:val="74236D61"/>
    <w:multiLevelType w:val="singleLevel"/>
    <w:tmpl w:val="74236D61"/>
    <w:lvl w:ilvl="0" w:tentative="0">
      <w:start w:val="1"/>
      <w:numFmt w:val="decimal"/>
      <w:suff w:val="nothing"/>
      <w:lvlText w:val="%1、"/>
      <w:lvlJc w:val="left"/>
      <w:rPr>
        <w:rFonts w:hint="default"/>
        <w:b w:val="0"/>
        <w:bCs w:val="0"/>
        <w:color w:val="auto"/>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9A511D"/>
    <w:rsid w:val="0173172E"/>
    <w:rsid w:val="01DB1A6B"/>
    <w:rsid w:val="02F76DEB"/>
    <w:rsid w:val="04525DA3"/>
    <w:rsid w:val="04CA4768"/>
    <w:rsid w:val="06E3065B"/>
    <w:rsid w:val="072A37F3"/>
    <w:rsid w:val="0782145E"/>
    <w:rsid w:val="081A2CF4"/>
    <w:rsid w:val="08BF46E8"/>
    <w:rsid w:val="0AB55A9D"/>
    <w:rsid w:val="0C3A125B"/>
    <w:rsid w:val="0E6609D7"/>
    <w:rsid w:val="1023528A"/>
    <w:rsid w:val="10E55F23"/>
    <w:rsid w:val="112160A6"/>
    <w:rsid w:val="12814D69"/>
    <w:rsid w:val="168461FE"/>
    <w:rsid w:val="186D15A1"/>
    <w:rsid w:val="1C361957"/>
    <w:rsid w:val="1DE60019"/>
    <w:rsid w:val="1FE70A63"/>
    <w:rsid w:val="23B52D23"/>
    <w:rsid w:val="25317D63"/>
    <w:rsid w:val="25AA1ED9"/>
    <w:rsid w:val="26AD15E2"/>
    <w:rsid w:val="29C7779A"/>
    <w:rsid w:val="29E949E7"/>
    <w:rsid w:val="2C08574B"/>
    <w:rsid w:val="2C7A4785"/>
    <w:rsid w:val="2C814110"/>
    <w:rsid w:val="2CD6709D"/>
    <w:rsid w:val="2D28112A"/>
    <w:rsid w:val="2DD82143"/>
    <w:rsid w:val="2DDA5FAF"/>
    <w:rsid w:val="2E2F2B52"/>
    <w:rsid w:val="30A9679C"/>
    <w:rsid w:val="32932D86"/>
    <w:rsid w:val="34697489"/>
    <w:rsid w:val="354F4C6E"/>
    <w:rsid w:val="372F5B64"/>
    <w:rsid w:val="395B0226"/>
    <w:rsid w:val="3A690764"/>
    <w:rsid w:val="3AED09BD"/>
    <w:rsid w:val="3BB93267"/>
    <w:rsid w:val="3BEA1B59"/>
    <w:rsid w:val="3F366D42"/>
    <w:rsid w:val="40713247"/>
    <w:rsid w:val="41C14926"/>
    <w:rsid w:val="444D5CFC"/>
    <w:rsid w:val="44E43A96"/>
    <w:rsid w:val="45C83D08"/>
    <w:rsid w:val="4696565B"/>
    <w:rsid w:val="47220AC2"/>
    <w:rsid w:val="47580F9C"/>
    <w:rsid w:val="489B28AD"/>
    <w:rsid w:val="48AF154D"/>
    <w:rsid w:val="4ABF6D2F"/>
    <w:rsid w:val="4C0623F3"/>
    <w:rsid w:val="4C3E3A72"/>
    <w:rsid w:val="4DCA564C"/>
    <w:rsid w:val="4DEA3D63"/>
    <w:rsid w:val="4E802D47"/>
    <w:rsid w:val="4FE95A27"/>
    <w:rsid w:val="51FD7691"/>
    <w:rsid w:val="522916A8"/>
    <w:rsid w:val="54EA71DF"/>
    <w:rsid w:val="5510379B"/>
    <w:rsid w:val="579A511D"/>
    <w:rsid w:val="59333C77"/>
    <w:rsid w:val="59D836F4"/>
    <w:rsid w:val="5AA575C5"/>
    <w:rsid w:val="5DD025BF"/>
    <w:rsid w:val="5ECF671B"/>
    <w:rsid w:val="5F5B54B2"/>
    <w:rsid w:val="5F9B4B6A"/>
    <w:rsid w:val="6019483A"/>
    <w:rsid w:val="60E0197E"/>
    <w:rsid w:val="637B25C6"/>
    <w:rsid w:val="63B36E9D"/>
    <w:rsid w:val="64D26594"/>
    <w:rsid w:val="683A1C10"/>
    <w:rsid w:val="690A31E2"/>
    <w:rsid w:val="690E1BE8"/>
    <w:rsid w:val="699B4CCF"/>
    <w:rsid w:val="6A383C54"/>
    <w:rsid w:val="6AAE3893"/>
    <w:rsid w:val="6DBE55BC"/>
    <w:rsid w:val="6F703E60"/>
    <w:rsid w:val="70026C53"/>
    <w:rsid w:val="72147937"/>
    <w:rsid w:val="744160F1"/>
    <w:rsid w:val="772B2E92"/>
    <w:rsid w:val="77640A6E"/>
    <w:rsid w:val="790402F6"/>
    <w:rsid w:val="7B2B1F08"/>
    <w:rsid w:val="7E836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宋体" w:eastAsia="宋体"/>
      <w:color w:val="000000"/>
      <w:spacing w:val="0"/>
      <w:sz w:val="21"/>
      <w:szCs w:val="20"/>
    </w:rPr>
  </w:style>
  <w:style w:type="paragraph" w:styleId="3">
    <w:name w:val="Body Text"/>
    <w:basedOn w:val="1"/>
    <w:next w:val="1"/>
    <w:qFormat/>
    <w:uiPriority w:val="0"/>
    <w:pPr>
      <w:spacing w:after="120" w:line="480" w:lineRule="auto"/>
      <w:ind w:firstLine="560" w:firstLineChars="200"/>
    </w:pPr>
    <w:rPr>
      <w:rFonts w:ascii="仿宋_GB2312" w:hAnsi="仿宋_GB2312" w:eastAsia="宋体" w:cs="Times New Roman"/>
      <w:spacing w:val="20"/>
      <w:sz w:val="24"/>
      <w:szCs w:val="24"/>
    </w:rPr>
  </w:style>
  <w:style w:type="paragraph" w:styleId="4">
    <w:name w:val="annotation text"/>
    <w:basedOn w:val="1"/>
    <w:qFormat/>
    <w:uiPriority w:val="0"/>
    <w:pPr>
      <w:jc w:val="left"/>
    </w:pPr>
  </w:style>
  <w:style w:type="paragraph" w:styleId="5">
    <w:name w:val="footnote text"/>
    <w:basedOn w:val="1"/>
    <w:uiPriority w:val="0"/>
    <w:pPr>
      <w:snapToGrid w:val="0"/>
      <w:jc w:val="left"/>
    </w:pPr>
    <w:rPr>
      <w:sz w:val="18"/>
    </w:rPr>
  </w:style>
  <w:style w:type="character" w:styleId="8">
    <w:name w:val="footnote reference"/>
    <w:basedOn w:val="7"/>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横琴新区</Company>
  <Pages>6</Pages>
  <Words>2385</Words>
  <Characters>2482</Characters>
  <Lines>0</Lines>
  <Paragraphs>0</Paragraphs>
  <TotalTime>72</TotalTime>
  <ScaleCrop>false</ScaleCrop>
  <LinksUpToDate>false</LinksUpToDate>
  <CharactersWithSpaces>2506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2026-07-27T02:53:00Z</dcterms:created>
  <dc:creator>user</dc:creator>
  <cp:lastModifiedBy>user</cp:lastModifiedBy>
  <dcterms:modified xsi:type="dcterms:W3CDTF">2026-08-06T07:04:16Z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24231D7F0750403B8FDC34501AB65F2D_13</vt:lpwstr>
  </property>
  <property fmtid="{D5CDD505-2E9C-101B-9397-08002B2CF9AE}" pid="4" name="KSOTemplateDocerSaveRecord">
    <vt:lpwstr>eyJoZGlkIjoiYjljZjMxZDMxNmM2YmUyZWJhMTIzYmYzYjQ0MjZjMjMiLCJ1c2VySWQiOiIzODc4MjM3NzQifQ==</vt:lpwstr>
  </property>
</Properties>
</file>