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7B3E91">
      <w:pPr>
        <w:pageBreakBefore w:val="0"/>
        <w:widowControl w:val="0"/>
        <w:kinsoku/>
        <w:wordWrap/>
        <w:overflowPunct/>
        <w:topLinePunct w:val="0"/>
        <w:autoSpaceDE/>
        <w:autoSpaceDN/>
        <w:bidi w:val="0"/>
        <w:adjustRightInd w:val="0"/>
        <w:snapToGrid w:val="0"/>
        <w:spacing w:line="579" w:lineRule="exact"/>
        <w:ind w:firstLine="0" w:firstLineChars="0"/>
        <w:jc w:val="center"/>
        <w:outlineLvl w:val="0"/>
        <w:rPr>
          <w:rFonts w:hint="default" w:ascii="Times New Roman Regular" w:hAnsi="Times New Roman Regular" w:eastAsia="方正小标宋简体" w:cs="Times New Roman Regular"/>
          <w:b w:val="0"/>
          <w:bCs w:val="0"/>
          <w:color w:val="auto"/>
          <w:sz w:val="44"/>
          <w:szCs w:val="44"/>
          <w:highlight w:val="none"/>
          <w:lang w:val="en-US" w:eastAsia="zh-CN"/>
        </w:rPr>
      </w:pPr>
      <w:r>
        <w:rPr>
          <w:rFonts w:hint="eastAsia" w:ascii="Times New Roman Regular" w:hAnsi="Times New Roman Regular" w:eastAsia="方正小标宋简体" w:cs="Times New Roman Regular"/>
          <w:b w:val="0"/>
          <w:bCs w:val="0"/>
          <w:color w:val="auto"/>
          <w:sz w:val="44"/>
          <w:szCs w:val="44"/>
          <w:highlight w:val="none"/>
          <w:lang w:val="en-US" w:eastAsia="zh-CN"/>
        </w:rPr>
        <w:t>项目</w:t>
      </w:r>
      <w:r>
        <w:rPr>
          <w:rFonts w:hint="default" w:ascii="Times New Roman Regular" w:hAnsi="Times New Roman Regular" w:eastAsia="方正小标宋简体" w:cs="Times New Roman Regular"/>
          <w:b w:val="0"/>
          <w:bCs w:val="0"/>
          <w:color w:val="auto"/>
          <w:sz w:val="44"/>
          <w:szCs w:val="44"/>
          <w:highlight w:val="none"/>
          <w:lang w:val="en-US" w:eastAsia="zh-CN"/>
        </w:rPr>
        <w:t>需求书</w:t>
      </w:r>
    </w:p>
    <w:p w14:paraId="5EB0D01A">
      <w:pPr>
        <w:pageBreakBefore w:val="0"/>
        <w:widowControl w:val="0"/>
        <w:kinsoku/>
        <w:wordWrap/>
        <w:overflowPunct/>
        <w:topLinePunct w:val="0"/>
        <w:autoSpaceDE/>
        <w:autoSpaceDN/>
        <w:bidi w:val="0"/>
        <w:adjustRightInd w:val="0"/>
        <w:snapToGrid w:val="0"/>
        <w:spacing w:line="579" w:lineRule="exact"/>
        <w:ind w:firstLine="562" w:firstLineChars="200"/>
        <w:jc w:val="left"/>
        <w:outlineLvl w:val="9"/>
        <w:rPr>
          <w:rFonts w:hint="default" w:ascii="Times New Roman Regular" w:hAnsi="Times New Roman Regular" w:eastAsia="黑体" w:cs="Times New Roman Regular"/>
          <w:b/>
          <w:bCs/>
          <w:color w:val="auto"/>
          <w:sz w:val="28"/>
          <w:szCs w:val="28"/>
          <w:highlight w:val="none"/>
        </w:rPr>
      </w:pPr>
    </w:p>
    <w:p w14:paraId="784B91D1">
      <w:pPr>
        <w:pStyle w:val="3"/>
        <w:spacing w:line="579" w:lineRule="exact"/>
        <w:ind w:firstLine="640" w:firstLineChars="200"/>
        <w:rPr>
          <w:rFonts w:hint="default" w:ascii="Times New Roman Regular" w:hAnsi="Times New Roman Regular" w:eastAsia="黑体" w:cs="Times New Roman Regular"/>
          <w:b w:val="0"/>
          <w:bCs/>
          <w:color w:val="auto"/>
          <w:highlight w:val="none"/>
          <w:lang w:val="en-US" w:eastAsia="zh-CN"/>
        </w:rPr>
      </w:pPr>
      <w:r>
        <w:rPr>
          <w:rFonts w:hint="default" w:ascii="Times New Roman Regular" w:hAnsi="Times New Roman Regular" w:cs="Times New Roman Regular"/>
          <w:b w:val="0"/>
          <w:bCs/>
          <w:color w:val="auto"/>
          <w:highlight w:val="none"/>
        </w:rPr>
        <w:t>一</w:t>
      </w:r>
      <w:r>
        <w:rPr>
          <w:rFonts w:hint="default" w:ascii="Times New Roman Regular" w:hAnsi="Times New Roman Regular" w:cs="Times New Roman Regular"/>
          <w:b w:val="0"/>
          <w:bCs/>
          <w:color w:val="auto"/>
          <w:highlight w:val="none"/>
          <w:lang w:eastAsia="zh-CN"/>
        </w:rPr>
        <w:t>、项目名称</w:t>
      </w:r>
    </w:p>
    <w:p w14:paraId="6AC49F63">
      <w:pPr>
        <w:pStyle w:val="3"/>
        <w:spacing w:line="579" w:lineRule="exact"/>
        <w:ind w:firstLine="640" w:firstLineChars="200"/>
        <w:rPr>
          <w:rFonts w:hint="default" w:ascii="Times New Roman Regular" w:hAnsi="Times New Roman Regular" w:eastAsia="仿宋" w:cs="Times New Roman Regular"/>
          <w:b w:val="0"/>
          <w:color w:val="auto"/>
          <w:kern w:val="2"/>
          <w:sz w:val="32"/>
          <w:szCs w:val="32"/>
          <w:highlight w:val="none"/>
          <w:lang w:val="en-US" w:eastAsia="zh-CN" w:bidi="ar-SA"/>
        </w:rPr>
      </w:pPr>
      <w:r>
        <w:rPr>
          <w:rFonts w:hint="default" w:ascii="Times New Roman Regular" w:hAnsi="Times New Roman Regular" w:eastAsia="仿宋" w:cs="Times New Roman Regular"/>
          <w:b w:val="0"/>
          <w:color w:val="auto"/>
          <w:kern w:val="2"/>
          <w:sz w:val="32"/>
          <w:szCs w:val="32"/>
          <w:highlight w:val="none"/>
          <w:lang w:val="en-US" w:eastAsia="zh-CN" w:bidi="ar-SA"/>
        </w:rPr>
        <w:t>澳门单牌营运客车入出横琴政策措施专题研究服务项目</w:t>
      </w:r>
    </w:p>
    <w:p w14:paraId="3D6DACD5">
      <w:pPr>
        <w:pStyle w:val="3"/>
        <w:spacing w:line="579" w:lineRule="exact"/>
        <w:ind w:firstLine="640" w:firstLineChars="200"/>
        <w:rPr>
          <w:rFonts w:hint="default" w:ascii="Times New Roman Regular" w:hAnsi="Times New Roman Regular" w:eastAsia="黑体" w:cs="Times New Roman Regular"/>
          <w:b w:val="0"/>
          <w:bCs/>
          <w:color w:val="auto"/>
          <w:highlight w:val="none"/>
          <w:lang w:eastAsia="zh-CN"/>
        </w:rPr>
      </w:pPr>
      <w:r>
        <w:rPr>
          <w:rFonts w:hint="default" w:ascii="Times New Roman Regular" w:hAnsi="Times New Roman Regular" w:cs="Times New Roman Regular"/>
          <w:b w:val="0"/>
          <w:bCs/>
          <w:color w:val="auto"/>
          <w:highlight w:val="none"/>
          <w:lang w:eastAsia="zh-CN"/>
        </w:rPr>
        <w:t>二、</w:t>
      </w:r>
      <w:r>
        <w:rPr>
          <w:rFonts w:hint="default" w:ascii="Times New Roman Regular" w:hAnsi="Times New Roman Regular" w:cs="Times New Roman Regular"/>
          <w:b w:val="0"/>
          <w:bCs/>
          <w:color w:val="auto"/>
          <w:highlight w:val="none"/>
        </w:rPr>
        <w:t>项目</w:t>
      </w:r>
      <w:r>
        <w:rPr>
          <w:rFonts w:hint="default" w:ascii="Times New Roman Regular" w:hAnsi="Times New Roman Regular" w:cs="Times New Roman Regular"/>
          <w:b w:val="0"/>
          <w:bCs/>
          <w:color w:val="auto"/>
          <w:highlight w:val="none"/>
          <w:lang w:eastAsia="zh-CN"/>
        </w:rPr>
        <w:t>概况</w:t>
      </w:r>
    </w:p>
    <w:p w14:paraId="04EB1AA1">
      <w:pPr>
        <w:pStyle w:val="13"/>
        <w:pageBreakBefore w:val="0"/>
        <w:widowControl w:val="0"/>
        <w:kinsoku/>
        <w:wordWrap/>
        <w:overflowPunct/>
        <w:topLinePunct w:val="0"/>
        <w:autoSpaceDE/>
        <w:autoSpaceDN/>
        <w:bidi w:val="0"/>
        <w:adjustRightInd w:val="0"/>
        <w:snapToGrid w:val="0"/>
        <w:spacing w:line="579" w:lineRule="exact"/>
        <w:ind w:firstLine="640" w:firstLineChars="200"/>
        <w:jc w:val="both"/>
        <w:outlineLvl w:val="9"/>
        <w:rPr>
          <w:rFonts w:hint="default" w:ascii="Times New Roman Regular" w:hAnsi="Times New Roman Regular" w:eastAsia="仿宋" w:cs="Times New Roman Regular"/>
          <w:color w:val="auto"/>
          <w:sz w:val="32"/>
          <w:szCs w:val="32"/>
          <w:highlight w:val="none"/>
          <w:lang w:val="en-US" w:eastAsia="zh-CN"/>
        </w:rPr>
      </w:pPr>
      <w:r>
        <w:rPr>
          <w:rFonts w:hint="default" w:ascii="Times New Roman Regular" w:hAnsi="Times New Roman Regular" w:eastAsia="仿宋" w:cs="Times New Roman Regular"/>
          <w:color w:val="auto"/>
          <w:sz w:val="32"/>
          <w:szCs w:val="32"/>
          <w:highlight w:val="none"/>
          <w:lang w:val="en-US" w:eastAsia="zh-CN"/>
        </w:rPr>
        <w:t>为贯彻落实习近平总书记考察横琴的指示精神和国家关于横琴工作的重点部署，落实《横琴粤澳深度合作区总体发展规划》《关于支持横琴粤澳深度合作区放宽市场准入特别措施的意见》等文件要求，推动澳门营运客车便利入出横琴，加强琴澳两地互联互通，按照有关工作要求，研究制定配套政策措施，适配不同阶段营运客车的监管要求，以及研究澳门旅游客车、澳门公交车、出租车等车辆入出合作区需向广东省政府或国家部委争取的监管机制创新，更好地便利澳门居民游客入出合作区，优化文旅、会展等行业市场发展及商务交流环境，拟启动</w:t>
      </w:r>
      <w:r>
        <w:rPr>
          <w:rFonts w:hint="eastAsia" w:ascii="仿宋_GB2312" w:hAnsi="仿宋_GB2312" w:eastAsia="仿宋_GB2312" w:cs="仿宋_GB2312"/>
          <w:sz w:val="32"/>
          <w:szCs w:val="32"/>
        </w:rPr>
        <w:t>澳门单牌营运客车入出横琴政策措施专题研究</w:t>
      </w:r>
      <w:r>
        <w:rPr>
          <w:rFonts w:hint="default" w:ascii="Times New Roman Regular" w:hAnsi="Times New Roman Regular" w:eastAsia="仿宋" w:cs="Times New Roman Regular"/>
          <w:color w:val="auto"/>
          <w:sz w:val="32"/>
          <w:szCs w:val="32"/>
          <w:highlight w:val="none"/>
          <w:lang w:val="en-US" w:eastAsia="zh-CN"/>
        </w:rPr>
        <w:t>工作。</w:t>
      </w:r>
    </w:p>
    <w:p w14:paraId="25892144">
      <w:pPr>
        <w:pStyle w:val="3"/>
        <w:numPr>
          <w:ilvl w:val="0"/>
          <w:numId w:val="1"/>
        </w:numPr>
        <w:spacing w:line="579" w:lineRule="exact"/>
        <w:ind w:firstLine="640" w:firstLineChars="200"/>
        <w:rPr>
          <w:rFonts w:hint="default" w:ascii="Times New Roman Regular" w:hAnsi="Times New Roman Regular" w:cs="Times New Roman Regular"/>
          <w:b w:val="0"/>
          <w:bCs/>
          <w:color w:val="auto"/>
          <w:sz w:val="32"/>
          <w:szCs w:val="24"/>
          <w:highlight w:val="none"/>
          <w:lang w:eastAsia="zh-CN"/>
        </w:rPr>
      </w:pPr>
      <w:r>
        <w:rPr>
          <w:rFonts w:hint="default" w:ascii="Times New Roman Regular" w:hAnsi="Times New Roman Regular" w:cs="Times New Roman Regular"/>
          <w:b w:val="0"/>
          <w:bCs/>
          <w:color w:val="auto"/>
          <w:sz w:val="32"/>
          <w:szCs w:val="24"/>
          <w:highlight w:val="none"/>
          <w:lang w:eastAsia="zh-CN"/>
        </w:rPr>
        <w:t>服务期限</w:t>
      </w:r>
    </w:p>
    <w:p w14:paraId="07CE1AA0">
      <w:pPr>
        <w:pStyle w:val="3"/>
        <w:spacing w:line="579" w:lineRule="exact"/>
        <w:ind w:firstLine="640" w:firstLineChars="200"/>
        <w:rPr>
          <w:rFonts w:hint="default" w:ascii="Times New Roman Regular" w:hAnsi="Times New Roman Regular" w:eastAsia="仿宋" w:cs="Times New Roman Regular"/>
          <w:b w:val="0"/>
          <w:color w:val="auto"/>
          <w:kern w:val="2"/>
          <w:sz w:val="32"/>
          <w:szCs w:val="32"/>
          <w:highlight w:val="none"/>
          <w:lang w:val="en-US" w:eastAsia="zh-CN" w:bidi="ar-SA"/>
        </w:rPr>
      </w:pPr>
      <w:r>
        <w:rPr>
          <w:rFonts w:hint="default" w:ascii="Times New Roman Regular" w:hAnsi="Times New Roman Regular" w:eastAsia="仿宋" w:cs="Times New Roman Regular"/>
          <w:b w:val="0"/>
          <w:color w:val="auto"/>
          <w:kern w:val="2"/>
          <w:sz w:val="32"/>
          <w:szCs w:val="32"/>
          <w:highlight w:val="none"/>
          <w:lang w:val="en-US" w:eastAsia="zh-CN" w:bidi="ar-SA"/>
        </w:rPr>
        <w:t>自合同签订之日</w:t>
      </w:r>
      <w:r>
        <w:rPr>
          <w:rFonts w:hint="eastAsia" w:ascii="Times New Roman Regular" w:hAnsi="Times New Roman Regular" w:eastAsia="仿宋" w:cs="Times New Roman Regular"/>
          <w:b w:val="0"/>
          <w:color w:val="auto"/>
          <w:kern w:val="2"/>
          <w:sz w:val="32"/>
          <w:szCs w:val="32"/>
          <w:highlight w:val="none"/>
          <w:lang w:val="en-US" w:eastAsia="zh-CN" w:bidi="ar-SA"/>
        </w:rPr>
        <w:t>至2026年12月。</w:t>
      </w:r>
    </w:p>
    <w:p w14:paraId="632A24DC">
      <w:pPr>
        <w:pStyle w:val="3"/>
        <w:spacing w:line="579" w:lineRule="exact"/>
        <w:ind w:firstLine="640" w:firstLineChars="200"/>
        <w:rPr>
          <w:rFonts w:hint="default" w:ascii="Times New Roman Regular" w:hAnsi="Times New Roman Regular" w:eastAsia="黑体" w:cs="Times New Roman Regular"/>
          <w:b w:val="0"/>
          <w:bCs w:val="0"/>
          <w:color w:val="auto"/>
          <w:sz w:val="32"/>
          <w:szCs w:val="32"/>
          <w:highlight w:val="none"/>
          <w:lang w:eastAsia="zh-CN"/>
        </w:rPr>
      </w:pPr>
      <w:r>
        <w:rPr>
          <w:rFonts w:hint="default" w:ascii="Times New Roman Regular" w:hAnsi="Times New Roman Regular" w:eastAsia="黑体" w:cs="Times New Roman Regular"/>
          <w:b w:val="0"/>
          <w:bCs w:val="0"/>
          <w:color w:val="auto"/>
          <w:kern w:val="2"/>
          <w:sz w:val="32"/>
          <w:szCs w:val="32"/>
          <w:highlight w:val="none"/>
          <w:lang w:val="en-US" w:eastAsia="zh-CN" w:bidi="ar-SA"/>
        </w:rPr>
        <w:t>四、</w:t>
      </w:r>
      <w:r>
        <w:rPr>
          <w:rFonts w:hint="default" w:ascii="Times New Roman Regular" w:hAnsi="Times New Roman Regular" w:eastAsia="黑体" w:cs="Times New Roman Regular"/>
          <w:b w:val="0"/>
          <w:bCs w:val="0"/>
          <w:color w:val="auto"/>
          <w:sz w:val="32"/>
          <w:szCs w:val="32"/>
          <w:highlight w:val="none"/>
        </w:rPr>
        <w:t>服务内容</w:t>
      </w:r>
      <w:r>
        <w:rPr>
          <w:rFonts w:hint="default" w:ascii="Times New Roman Regular" w:hAnsi="Times New Roman Regular" w:eastAsia="黑体" w:cs="Times New Roman Regular"/>
          <w:b w:val="0"/>
          <w:bCs w:val="0"/>
          <w:color w:val="auto"/>
          <w:sz w:val="32"/>
          <w:szCs w:val="32"/>
          <w:highlight w:val="none"/>
          <w:lang w:eastAsia="zh-CN"/>
        </w:rPr>
        <w:t>及要求</w:t>
      </w:r>
    </w:p>
    <w:p w14:paraId="1D4D7738">
      <w:pPr>
        <w:pageBreakBefore w:val="0"/>
        <w:widowControl w:val="0"/>
        <w:numPr>
          <w:ilvl w:val="-1"/>
          <w:numId w:val="0"/>
        </w:numPr>
        <w:kinsoku/>
        <w:wordWrap/>
        <w:overflowPunct/>
        <w:topLinePunct w:val="0"/>
        <w:autoSpaceDE/>
        <w:autoSpaceDN/>
        <w:bidi w:val="0"/>
        <w:adjustRightInd w:val="0"/>
        <w:snapToGrid w:val="0"/>
        <w:spacing w:line="579" w:lineRule="exact"/>
        <w:ind w:leftChars="0" w:firstLine="640" w:firstLineChars="200"/>
        <w:jc w:val="left"/>
        <w:outlineLvl w:val="9"/>
        <w:rPr>
          <w:rFonts w:hint="default" w:ascii="Times New Roman Regular" w:hAnsi="Times New Roman Regular" w:eastAsia="仿宋" w:cs="Times New Roman Regular"/>
          <w:color w:val="auto"/>
          <w:sz w:val="32"/>
          <w:szCs w:val="32"/>
          <w:highlight w:val="none"/>
          <w:lang w:val="en-US" w:eastAsia="zh-CN"/>
        </w:rPr>
      </w:pPr>
      <w:r>
        <w:rPr>
          <w:rFonts w:hint="default" w:ascii="Times New Roman Regular" w:hAnsi="Times New Roman Regular" w:eastAsia="仿宋" w:cs="Times New Roman Regular"/>
          <w:color w:val="auto"/>
          <w:sz w:val="32"/>
          <w:szCs w:val="32"/>
          <w:highlight w:val="none"/>
          <w:lang w:val="en-US" w:eastAsia="zh-CN"/>
        </w:rPr>
        <w:t>为推动澳门营运客车便利入出横琴，加强琴澳两地互联互通</w:t>
      </w:r>
      <w:r>
        <w:rPr>
          <w:rFonts w:hint="default" w:ascii="Times New Roman Regular" w:hAnsi="Times New Roman Regular" w:eastAsia="仿宋" w:cs="Times New Roman Regular"/>
          <w:b w:val="0"/>
          <w:bCs w:val="0"/>
          <w:color w:val="auto"/>
          <w:kern w:val="2"/>
          <w:sz w:val="32"/>
          <w:szCs w:val="32"/>
          <w:highlight w:val="none"/>
          <w:lang w:val="en-US" w:eastAsia="zh-CN" w:bidi="ar-SA"/>
        </w:rPr>
        <w:t>，</w:t>
      </w:r>
      <w:r>
        <w:rPr>
          <w:rFonts w:hint="default" w:ascii="Times New Roman Regular" w:hAnsi="Times New Roman Regular" w:eastAsia="仿宋" w:cs="Times New Roman Regular"/>
          <w:color w:val="auto"/>
          <w:sz w:val="32"/>
          <w:szCs w:val="32"/>
          <w:highlight w:val="none"/>
          <w:lang w:val="en-US" w:eastAsia="zh-CN"/>
        </w:rPr>
        <w:t>中标人须向采购人提供以下服务：</w:t>
      </w:r>
    </w:p>
    <w:p w14:paraId="326261AE">
      <w:pPr>
        <w:pageBreakBefore w:val="0"/>
        <w:widowControl w:val="0"/>
        <w:numPr>
          <w:ilvl w:val="-1"/>
          <w:numId w:val="0"/>
        </w:numPr>
        <w:kinsoku/>
        <w:wordWrap/>
        <w:overflowPunct/>
        <w:topLinePunct w:val="0"/>
        <w:autoSpaceDE/>
        <w:autoSpaceDN/>
        <w:bidi w:val="0"/>
        <w:adjustRightInd w:val="0"/>
        <w:snapToGrid w:val="0"/>
        <w:spacing w:line="579" w:lineRule="exact"/>
        <w:ind w:leftChars="0" w:firstLine="640" w:firstLineChars="200"/>
        <w:jc w:val="left"/>
        <w:outlineLvl w:val="9"/>
        <w:rPr>
          <w:rFonts w:hint="default" w:ascii="Times New Roman Regular" w:hAnsi="Times New Roman Regular" w:eastAsia="仿宋" w:cs="Times New Roman Regular"/>
          <w:color w:val="auto"/>
          <w:sz w:val="32"/>
          <w:szCs w:val="32"/>
          <w:highlight w:val="none"/>
          <w:lang w:val="en-US" w:eastAsia="zh-CN"/>
        </w:rPr>
      </w:pPr>
      <w:r>
        <w:rPr>
          <w:rFonts w:hint="default" w:ascii="Times New Roman Regular" w:hAnsi="Times New Roman Regular" w:eastAsia="仿宋" w:cs="Times New Roman Regular"/>
          <w:color w:val="auto"/>
          <w:sz w:val="32"/>
          <w:szCs w:val="32"/>
          <w:highlight w:val="none"/>
          <w:lang w:val="en-US" w:eastAsia="zh-CN"/>
        </w:rPr>
        <w:t>（一）澳门营运客车入出合作区配套政策研究。明确澳门单牌营运客车的准入条件、备案流程、通行范围、停留时限、违法处置、年检审核等核心规则，制定第一阶段营运客车配套监管政策，以及相关支撑文件编制。</w:t>
      </w:r>
    </w:p>
    <w:p w14:paraId="698DF0E5">
      <w:pPr>
        <w:pageBreakBefore w:val="0"/>
        <w:widowControl w:val="0"/>
        <w:numPr>
          <w:ilvl w:val="-1"/>
          <w:numId w:val="0"/>
        </w:numPr>
        <w:kinsoku/>
        <w:wordWrap/>
        <w:overflowPunct/>
        <w:topLinePunct w:val="0"/>
        <w:autoSpaceDE/>
        <w:autoSpaceDN/>
        <w:bidi w:val="0"/>
        <w:adjustRightInd w:val="0"/>
        <w:snapToGrid w:val="0"/>
        <w:spacing w:line="579" w:lineRule="exact"/>
        <w:ind w:leftChars="0" w:firstLine="640" w:firstLineChars="200"/>
        <w:jc w:val="left"/>
        <w:outlineLvl w:val="9"/>
        <w:rPr>
          <w:rFonts w:hint="default" w:ascii="Times New Roman Regular" w:hAnsi="Times New Roman Regular" w:eastAsia="仿宋" w:cs="Times New Roman Regular"/>
          <w:color w:val="auto"/>
          <w:sz w:val="32"/>
          <w:szCs w:val="32"/>
          <w:highlight w:val="none"/>
          <w:lang w:val="en-US" w:eastAsia="zh-CN"/>
        </w:rPr>
      </w:pPr>
      <w:r>
        <w:rPr>
          <w:rFonts w:hint="default" w:ascii="Times New Roman Regular" w:hAnsi="Times New Roman Regular" w:eastAsia="仿宋" w:cs="Times New Roman Regular"/>
          <w:color w:val="auto"/>
          <w:sz w:val="32"/>
          <w:szCs w:val="32"/>
          <w:highlight w:val="none"/>
          <w:lang w:val="en-US" w:eastAsia="zh-CN"/>
        </w:rPr>
        <w:t>（二）澳门营运客车入出合作区分阶段实施建议。结合澳门营运客车运营属性、服务场景、通行特点及琴澳民生往来、文旅出行、商务通勤需求，兼顾监管安全性与通行便利性，研究提出分阶段实施的措施建议。</w:t>
      </w:r>
    </w:p>
    <w:p w14:paraId="34F606F1">
      <w:pPr>
        <w:pageBreakBefore w:val="0"/>
        <w:widowControl w:val="0"/>
        <w:numPr>
          <w:ilvl w:val="-1"/>
          <w:numId w:val="0"/>
        </w:numPr>
        <w:kinsoku/>
        <w:wordWrap/>
        <w:overflowPunct/>
        <w:topLinePunct w:val="0"/>
        <w:autoSpaceDE/>
        <w:autoSpaceDN/>
        <w:bidi w:val="0"/>
        <w:adjustRightInd w:val="0"/>
        <w:snapToGrid w:val="0"/>
        <w:spacing w:line="579" w:lineRule="exact"/>
        <w:ind w:leftChars="0" w:firstLine="640" w:firstLineChars="200"/>
        <w:jc w:val="left"/>
        <w:outlineLvl w:val="9"/>
        <w:rPr>
          <w:rFonts w:hint="default" w:ascii="Times New Roman Regular" w:hAnsi="Times New Roman Regular" w:eastAsia="仿宋" w:cs="Times New Roman Regular"/>
          <w:color w:val="auto"/>
          <w:sz w:val="32"/>
          <w:szCs w:val="32"/>
          <w:highlight w:val="none"/>
          <w:lang w:val="en-US" w:eastAsia="zh-CN"/>
        </w:rPr>
      </w:pPr>
      <w:r>
        <w:rPr>
          <w:rFonts w:hint="default" w:ascii="Times New Roman Regular" w:hAnsi="Times New Roman Regular" w:eastAsia="仿宋" w:cs="Times New Roman Regular"/>
          <w:color w:val="auto"/>
          <w:sz w:val="32"/>
          <w:szCs w:val="32"/>
          <w:highlight w:val="none"/>
          <w:lang w:val="en-US" w:eastAsia="zh-CN"/>
        </w:rPr>
        <w:t>（三）课题成果主要包括：</w:t>
      </w:r>
    </w:p>
    <w:p w14:paraId="35DFE697">
      <w:pPr>
        <w:pageBreakBefore w:val="0"/>
        <w:widowControl w:val="0"/>
        <w:numPr>
          <w:ilvl w:val="-1"/>
          <w:numId w:val="0"/>
        </w:numPr>
        <w:kinsoku/>
        <w:wordWrap/>
        <w:overflowPunct/>
        <w:topLinePunct w:val="0"/>
        <w:autoSpaceDE/>
        <w:autoSpaceDN/>
        <w:bidi w:val="0"/>
        <w:adjustRightInd w:val="0"/>
        <w:snapToGrid w:val="0"/>
        <w:spacing w:line="579" w:lineRule="exact"/>
        <w:ind w:leftChars="0" w:firstLine="640" w:firstLineChars="200"/>
        <w:jc w:val="left"/>
        <w:outlineLvl w:val="9"/>
        <w:rPr>
          <w:rFonts w:hint="default" w:ascii="Times New Roman Regular" w:hAnsi="Times New Roman Regular" w:cs="Times New Roman Regular"/>
          <w:lang w:val="en-US" w:eastAsia="zh-CN"/>
        </w:rPr>
      </w:pPr>
      <w:r>
        <w:rPr>
          <w:rFonts w:hint="default" w:ascii="Times New Roman Regular" w:hAnsi="Times New Roman Regular" w:eastAsia="仿宋" w:cs="Times New Roman Regular"/>
          <w:color w:val="auto"/>
          <w:sz w:val="32"/>
          <w:szCs w:val="32"/>
          <w:highlight w:val="none"/>
          <w:lang w:val="en-US" w:eastAsia="zh-CN"/>
        </w:rPr>
        <w:t>《</w:t>
      </w:r>
      <w:r>
        <w:rPr>
          <w:rFonts w:hint="eastAsia" w:ascii="仿宋_GB2312" w:hAnsi="仿宋_GB2312" w:eastAsia="仿宋_GB2312" w:cs="仿宋_GB2312"/>
          <w:sz w:val="32"/>
          <w:szCs w:val="32"/>
        </w:rPr>
        <w:t>澳门单牌营运客车入出横琴政策措施专题研究</w:t>
      </w:r>
      <w:r>
        <w:rPr>
          <w:rFonts w:hint="default" w:ascii="Times New Roman Regular" w:hAnsi="Times New Roman Regular" w:eastAsia="仿宋" w:cs="Times New Roman Regular"/>
          <w:color w:val="auto"/>
          <w:sz w:val="32"/>
          <w:szCs w:val="32"/>
          <w:highlight w:val="none"/>
          <w:lang w:val="en-US" w:eastAsia="zh-CN"/>
        </w:rPr>
        <w:t>》政策文件（PPT+Word），以及编制说明、汇报材料等配套支撑文件。</w:t>
      </w:r>
    </w:p>
    <w:p w14:paraId="67BB7F28">
      <w:pPr>
        <w:pStyle w:val="3"/>
        <w:spacing w:line="579" w:lineRule="exact"/>
        <w:ind w:firstLine="640" w:firstLineChars="200"/>
        <w:rPr>
          <w:rFonts w:hint="default" w:ascii="Times New Roman Regular" w:hAnsi="Times New Roman Regular" w:cs="Times New Roman Regular"/>
          <w:b w:val="0"/>
          <w:bCs/>
          <w:color w:val="auto"/>
          <w:sz w:val="32"/>
          <w:szCs w:val="24"/>
          <w:highlight w:val="none"/>
          <w:lang w:eastAsia="zh-CN"/>
        </w:rPr>
      </w:pPr>
      <w:r>
        <w:rPr>
          <w:rFonts w:hint="default" w:ascii="Times New Roman Regular" w:hAnsi="Times New Roman Regular" w:cs="Times New Roman Regular"/>
          <w:b w:val="0"/>
          <w:bCs/>
          <w:color w:val="auto"/>
          <w:sz w:val="32"/>
          <w:szCs w:val="24"/>
          <w:highlight w:val="none"/>
          <w:lang w:val="en-US" w:eastAsia="zh-CN"/>
        </w:rPr>
        <w:t>五</w:t>
      </w:r>
      <w:r>
        <w:rPr>
          <w:rFonts w:hint="default" w:ascii="Times New Roman Regular" w:hAnsi="Times New Roman Regular" w:cs="Times New Roman Regular"/>
          <w:b w:val="0"/>
          <w:bCs/>
          <w:color w:val="auto"/>
          <w:sz w:val="32"/>
          <w:szCs w:val="24"/>
          <w:highlight w:val="none"/>
          <w:lang w:eastAsia="zh-CN"/>
        </w:rPr>
        <w:t>、采购预算及响应报价要求</w:t>
      </w:r>
    </w:p>
    <w:p w14:paraId="5E1D4E5A">
      <w:pPr>
        <w:snapToGrid w:val="0"/>
        <w:spacing w:line="579" w:lineRule="exact"/>
        <w:ind w:firstLine="624" w:firstLineChars="200"/>
        <w:rPr>
          <w:rFonts w:hint="default" w:ascii="Times New Roman Regular" w:hAnsi="Times New Roman Regular" w:eastAsia="仿宋" w:cs="Times New Roman Regular"/>
          <w:color w:val="auto"/>
          <w:spacing w:val="-4"/>
          <w:sz w:val="32"/>
          <w:szCs w:val="32"/>
          <w:highlight w:val="none"/>
          <w:lang w:eastAsia="zh-CN"/>
        </w:rPr>
      </w:pPr>
      <w:r>
        <w:rPr>
          <w:rFonts w:hint="default" w:ascii="Times New Roman Regular" w:hAnsi="Times New Roman Regular" w:eastAsia="仿宋" w:cs="Times New Roman Regular"/>
          <w:color w:val="auto"/>
          <w:spacing w:val="-4"/>
          <w:sz w:val="32"/>
          <w:szCs w:val="32"/>
          <w:highlight w:val="none"/>
          <w:lang w:eastAsia="zh-CN"/>
        </w:rPr>
        <w:t>本项目预算为</w:t>
      </w:r>
      <w:r>
        <w:rPr>
          <w:rFonts w:hint="default" w:ascii="Times New Roman Regular" w:hAnsi="Times New Roman Regular" w:eastAsia="仿宋" w:cs="Times New Roman Regular"/>
          <w:color w:val="auto"/>
          <w:spacing w:val="-4"/>
          <w:sz w:val="32"/>
          <w:szCs w:val="32"/>
          <w:highlight w:val="none"/>
          <w:lang w:val="en-US" w:eastAsia="zh-CN"/>
        </w:rPr>
        <w:t>400</w:t>
      </w:r>
      <w:r>
        <w:rPr>
          <w:rFonts w:hint="default" w:ascii="Times New Roman Regular" w:hAnsi="Times New Roman Regular" w:eastAsia="仿宋" w:cs="Times New Roman Regular"/>
          <w:color w:val="auto"/>
          <w:spacing w:val="-4"/>
          <w:sz w:val="32"/>
          <w:szCs w:val="32"/>
          <w:highlight w:val="none"/>
          <w:lang w:eastAsia="zh-CN"/>
        </w:rPr>
        <w:t>,</w:t>
      </w:r>
      <w:r>
        <w:rPr>
          <w:rFonts w:hint="default" w:ascii="Times New Roman Regular" w:hAnsi="Times New Roman Regular" w:eastAsia="仿宋" w:cs="Times New Roman Regular"/>
          <w:color w:val="auto"/>
          <w:spacing w:val="-4"/>
          <w:sz w:val="32"/>
          <w:szCs w:val="32"/>
          <w:highlight w:val="none"/>
          <w:lang w:val="en-US" w:eastAsia="zh-CN"/>
        </w:rPr>
        <w:t>0</w:t>
      </w:r>
      <w:r>
        <w:rPr>
          <w:rFonts w:hint="default" w:ascii="Times New Roman Regular" w:hAnsi="Times New Roman Regular" w:eastAsia="仿宋" w:cs="Times New Roman Regular"/>
          <w:color w:val="auto"/>
          <w:spacing w:val="-4"/>
          <w:sz w:val="32"/>
          <w:szCs w:val="32"/>
          <w:highlight w:val="none"/>
          <w:lang w:eastAsia="zh-CN"/>
        </w:rPr>
        <w:t>00.00元，为项目总价包干，响应人的报价应包括（但不限于）：人力成本、管理费、专家咨询费、差旅费、税金、不可预见费等完成本采购内容所需的一切费用，以及采购需求文件及合同约定应当由成交供应商承担的风险因素等费用。响应人应当根据采购需求文件等材料自行考虑风险因素进行响应报价。否则，一旦成交，采购人将不予支付除了采购需求文件及合同约定的由采购人承担的风险因素之外的任何补偿。响应人漏报或不报，采购人将视为该漏报或不报部分的费用已包括在响应报价中，合同金额不予调整。</w:t>
      </w:r>
    </w:p>
    <w:p w14:paraId="76ADEB17">
      <w:pPr>
        <w:pageBreakBefore w:val="0"/>
        <w:widowControl w:val="0"/>
        <w:kinsoku/>
        <w:wordWrap/>
        <w:overflowPunct/>
        <w:topLinePunct w:val="0"/>
        <w:autoSpaceDE/>
        <w:autoSpaceDN/>
        <w:bidi w:val="0"/>
        <w:spacing w:line="579" w:lineRule="exact"/>
        <w:ind w:firstLine="640" w:firstLineChars="200"/>
        <w:textAlignment w:val="auto"/>
        <w:rPr>
          <w:rFonts w:hint="default" w:ascii="Times New Roman Regular" w:hAnsi="Times New Roman Regular" w:eastAsia="黑体" w:cs="Times New Roman Regular"/>
          <w:bCs/>
          <w:color w:val="auto"/>
          <w:sz w:val="32"/>
          <w:szCs w:val="32"/>
          <w:highlight w:val="none"/>
        </w:rPr>
      </w:pPr>
      <w:r>
        <w:rPr>
          <w:rFonts w:hint="eastAsia" w:ascii="Times New Roman Regular" w:hAnsi="Times New Roman Regular" w:eastAsia="黑体" w:cs="Times New Roman Regular"/>
          <w:bCs/>
          <w:color w:val="auto"/>
          <w:sz w:val="32"/>
          <w:szCs w:val="32"/>
          <w:highlight w:val="none"/>
          <w:lang w:val="en-US" w:eastAsia="zh-CN"/>
        </w:rPr>
        <w:t>六</w:t>
      </w:r>
      <w:r>
        <w:rPr>
          <w:rFonts w:hint="default" w:ascii="Times New Roman Regular" w:hAnsi="Times New Roman Regular" w:eastAsia="黑体" w:cs="Times New Roman Regular"/>
          <w:bCs/>
          <w:color w:val="auto"/>
          <w:sz w:val="32"/>
          <w:szCs w:val="32"/>
          <w:highlight w:val="none"/>
        </w:rPr>
        <w:t>、付款方式</w:t>
      </w:r>
    </w:p>
    <w:p w14:paraId="556246C2">
      <w:pPr>
        <w:pageBreakBefore w:val="0"/>
        <w:widowControl w:val="0"/>
        <w:kinsoku/>
        <w:wordWrap/>
        <w:overflowPunct/>
        <w:topLinePunct w:val="0"/>
        <w:autoSpaceDE/>
        <w:autoSpaceDN/>
        <w:bidi w:val="0"/>
        <w:snapToGrid w:val="0"/>
        <w:spacing w:line="579" w:lineRule="exact"/>
        <w:ind w:firstLine="624" w:firstLineChars="200"/>
        <w:textAlignment w:val="auto"/>
        <w:rPr>
          <w:rFonts w:hint="default" w:ascii="Times New Roman Regular" w:hAnsi="Times New Roman Regular" w:cs="Times New Roman Regular"/>
          <w:color w:val="auto"/>
          <w:sz w:val="32"/>
          <w:szCs w:val="32"/>
          <w:highlight w:val="none"/>
        </w:rPr>
      </w:pPr>
      <w:r>
        <w:rPr>
          <w:rFonts w:hint="default" w:ascii="Times New Roman Regular" w:hAnsi="Times New Roman Regular" w:eastAsia="仿宋" w:cs="Times New Roman Regular"/>
          <w:color w:val="auto"/>
          <w:spacing w:val="-4"/>
          <w:sz w:val="32"/>
          <w:szCs w:val="32"/>
          <w:highlight w:val="none"/>
        </w:rPr>
        <w:t>1期：成交供应商与采购人签订合同</w:t>
      </w:r>
      <w:r>
        <w:rPr>
          <w:rFonts w:hint="default" w:ascii="Times New Roman Regular" w:hAnsi="Times New Roman Regular" w:eastAsia="仿宋" w:cs="Times New Roman Regular"/>
          <w:color w:val="auto"/>
          <w:spacing w:val="-4"/>
          <w:sz w:val="32"/>
          <w:szCs w:val="32"/>
          <w:highlight w:val="none"/>
          <w:lang w:val="en-US" w:eastAsia="zh-CN"/>
        </w:rPr>
        <w:t>7</w:t>
      </w:r>
      <w:r>
        <w:rPr>
          <w:rFonts w:hint="default" w:ascii="Times New Roman Regular" w:hAnsi="Times New Roman Regular" w:eastAsia="仿宋" w:cs="Times New Roman Regular"/>
          <w:color w:val="auto"/>
          <w:spacing w:val="-4"/>
          <w:sz w:val="32"/>
          <w:szCs w:val="32"/>
          <w:highlight w:val="none"/>
        </w:rPr>
        <w:t>个工作日内，采购人向成交供应商支付合同总价款的</w:t>
      </w:r>
      <w:r>
        <w:rPr>
          <w:rFonts w:hint="default" w:ascii="Times New Roman Regular" w:hAnsi="Times New Roman Regular" w:eastAsia="仿宋" w:cs="Times New Roman Regular"/>
          <w:color w:val="auto"/>
          <w:spacing w:val="-4"/>
          <w:sz w:val="32"/>
          <w:szCs w:val="32"/>
          <w:highlight w:val="none"/>
          <w:lang w:val="en-US" w:eastAsia="zh-CN"/>
        </w:rPr>
        <w:t>60</w:t>
      </w:r>
      <w:r>
        <w:rPr>
          <w:rFonts w:hint="default" w:ascii="Times New Roman Regular" w:hAnsi="Times New Roman Regular" w:eastAsia="仿宋" w:cs="Times New Roman Regular"/>
          <w:color w:val="auto"/>
          <w:spacing w:val="-4"/>
          <w:sz w:val="32"/>
          <w:szCs w:val="32"/>
          <w:highlight w:val="none"/>
        </w:rPr>
        <w:t>%</w:t>
      </w:r>
      <w:r>
        <w:rPr>
          <w:rFonts w:hint="default" w:ascii="Times New Roman Regular" w:hAnsi="Times New Roman Regular" w:eastAsia="仿宋" w:cs="Times New Roman Regular"/>
          <w:color w:val="auto"/>
          <w:spacing w:val="-4"/>
          <w:sz w:val="32"/>
          <w:szCs w:val="32"/>
          <w:highlight w:val="none"/>
          <w:lang w:val="en-US" w:eastAsia="zh-CN"/>
        </w:rPr>
        <w:t>作为预付款</w:t>
      </w:r>
      <w:r>
        <w:rPr>
          <w:rFonts w:hint="default" w:ascii="Times New Roman Regular" w:hAnsi="Times New Roman Regular" w:eastAsia="仿宋" w:cs="Times New Roman Regular"/>
          <w:color w:val="auto"/>
          <w:spacing w:val="-4"/>
          <w:sz w:val="32"/>
          <w:szCs w:val="32"/>
          <w:highlight w:val="none"/>
        </w:rPr>
        <w:t>。</w:t>
      </w:r>
    </w:p>
    <w:p w14:paraId="015583E1">
      <w:pPr>
        <w:pageBreakBefore w:val="0"/>
        <w:widowControl w:val="0"/>
        <w:kinsoku/>
        <w:wordWrap/>
        <w:overflowPunct/>
        <w:topLinePunct w:val="0"/>
        <w:autoSpaceDE/>
        <w:autoSpaceDN/>
        <w:bidi w:val="0"/>
        <w:snapToGrid w:val="0"/>
        <w:spacing w:line="579" w:lineRule="exact"/>
        <w:ind w:firstLine="624" w:firstLineChars="200"/>
        <w:textAlignment w:val="auto"/>
        <w:rPr>
          <w:rFonts w:hint="default" w:ascii="Times New Roman Regular" w:hAnsi="Times New Roman Regular" w:eastAsia="仿宋" w:cs="Times New Roman Regular"/>
          <w:b w:val="0"/>
          <w:bCs w:val="0"/>
          <w:color w:val="auto"/>
          <w:sz w:val="28"/>
          <w:szCs w:val="28"/>
          <w:highlight w:val="none"/>
          <w:lang w:val="en-US" w:eastAsia="zh-CN"/>
        </w:rPr>
      </w:pPr>
      <w:r>
        <w:rPr>
          <w:rFonts w:hint="default" w:ascii="Times New Roman Regular" w:hAnsi="Times New Roman Regular" w:eastAsia="仿宋" w:cs="Times New Roman Regular"/>
          <w:color w:val="auto"/>
          <w:spacing w:val="-4"/>
          <w:sz w:val="32"/>
          <w:szCs w:val="32"/>
          <w:highlight w:val="none"/>
        </w:rPr>
        <w:t>2期：所有项目内容实施完毕验收合格后，成交供应商按照采购人要求申请付款，采购人向成交供应商支付合同总价款的剩余款项。</w:t>
      </w:r>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imes New Roman Regular">
    <w:altName w:val="Times New Roman"/>
    <w:panose1 w:val="02020503050405090304"/>
    <w:charset w:val="00"/>
    <w:family w:val="auto"/>
    <w:pitch w:val="default"/>
    <w:sig w:usb0="00000000" w:usb1="00000000" w:usb2="00000001" w:usb3="00000000" w:csb0="400001BF" w:csb1="DFF7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1691B">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08DAE8">
                          <w:pPr>
                            <w:pStyle w:val="8"/>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t xml:space="preserve"> 页 共 </w:t>
                          </w:r>
                          <w:r>
                            <w:rPr>
                              <w:rFonts w:hint="eastAsia" w:ascii="仿宋" w:hAnsi="仿宋" w:eastAsia="仿宋" w:cs="仿宋"/>
                            </w:rPr>
                            <w:fldChar w:fldCharType="begin"/>
                          </w:r>
                          <w:r>
                            <w:rPr>
                              <w:rFonts w:hint="eastAsia" w:ascii="仿宋" w:hAnsi="仿宋" w:eastAsia="仿宋" w:cs="仿宋"/>
                            </w:rPr>
                            <w:instrText xml:space="preserve"> NUMPAGES  \* MERGEFORMAT </w:instrText>
                          </w:r>
                          <w:r>
                            <w:rPr>
                              <w:rFonts w:hint="eastAsia" w:ascii="仿宋" w:hAnsi="仿宋" w:eastAsia="仿宋" w:cs="仿宋"/>
                            </w:rPr>
                            <w:fldChar w:fldCharType="separate"/>
                          </w:r>
                          <w:r>
                            <w:rPr>
                              <w:rFonts w:hint="eastAsia" w:ascii="仿宋" w:hAnsi="仿宋" w:eastAsia="仿宋" w:cs="仿宋"/>
                            </w:rPr>
                            <w:t>19</w:t>
                          </w:r>
                          <w:r>
                            <w:rPr>
                              <w:rFonts w:hint="eastAsia" w:ascii="仿宋" w:hAnsi="仿宋" w:eastAsia="仿宋" w:cs="仿宋"/>
                            </w:rPr>
                            <w:fldChar w:fldCharType="end"/>
                          </w:r>
                          <w:r>
                            <w:rPr>
                              <w:rFonts w:hint="eastAsia" w:ascii="仿宋" w:hAnsi="仿宋" w:eastAsia="仿宋" w:cs="仿宋"/>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08DAE8">
                    <w:pPr>
                      <w:pStyle w:val="8"/>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t xml:space="preserve"> 页 共 </w:t>
                    </w:r>
                    <w:r>
                      <w:rPr>
                        <w:rFonts w:hint="eastAsia" w:ascii="仿宋" w:hAnsi="仿宋" w:eastAsia="仿宋" w:cs="仿宋"/>
                      </w:rPr>
                      <w:fldChar w:fldCharType="begin"/>
                    </w:r>
                    <w:r>
                      <w:rPr>
                        <w:rFonts w:hint="eastAsia" w:ascii="仿宋" w:hAnsi="仿宋" w:eastAsia="仿宋" w:cs="仿宋"/>
                      </w:rPr>
                      <w:instrText xml:space="preserve"> NUMPAGES  \* MERGEFORMAT </w:instrText>
                    </w:r>
                    <w:r>
                      <w:rPr>
                        <w:rFonts w:hint="eastAsia" w:ascii="仿宋" w:hAnsi="仿宋" w:eastAsia="仿宋" w:cs="仿宋"/>
                      </w:rPr>
                      <w:fldChar w:fldCharType="separate"/>
                    </w:r>
                    <w:r>
                      <w:rPr>
                        <w:rFonts w:hint="eastAsia" w:ascii="仿宋" w:hAnsi="仿宋" w:eastAsia="仿宋" w:cs="仿宋"/>
                      </w:rPr>
                      <w:t>19</w:t>
                    </w:r>
                    <w:r>
                      <w:rPr>
                        <w:rFonts w:hint="eastAsia" w:ascii="仿宋" w:hAnsi="仿宋" w:eastAsia="仿宋" w:cs="仿宋"/>
                      </w:rPr>
                      <w:fldChar w:fldCharType="end"/>
                    </w:r>
                    <w:r>
                      <w:rPr>
                        <w:rFonts w:hint="eastAsia" w:ascii="仿宋" w:hAnsi="仿宋" w:eastAsia="仿宋" w:cs="仿宋"/>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30C317"/>
    <w:multiLevelType w:val="singleLevel"/>
    <w:tmpl w:val="D530C31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0YTE2NzFkYWFlNTI1YjZjMTI2NDNjNGY0M2UyNzMifQ=="/>
  </w:docVars>
  <w:rsids>
    <w:rsidRoot w:val="00172A27"/>
    <w:rsid w:val="00AF1302"/>
    <w:rsid w:val="00F66F31"/>
    <w:rsid w:val="022B2B73"/>
    <w:rsid w:val="02BA5376"/>
    <w:rsid w:val="030F42DA"/>
    <w:rsid w:val="051536FE"/>
    <w:rsid w:val="05FB6D97"/>
    <w:rsid w:val="0649716C"/>
    <w:rsid w:val="06FC0BAE"/>
    <w:rsid w:val="0765096C"/>
    <w:rsid w:val="0833239F"/>
    <w:rsid w:val="08D8516E"/>
    <w:rsid w:val="094B4B13"/>
    <w:rsid w:val="099C229E"/>
    <w:rsid w:val="0A795329"/>
    <w:rsid w:val="0AA10C73"/>
    <w:rsid w:val="0B8415DD"/>
    <w:rsid w:val="0C686809"/>
    <w:rsid w:val="0DA35E8C"/>
    <w:rsid w:val="0E0C4977"/>
    <w:rsid w:val="0E633DF1"/>
    <w:rsid w:val="0E775B56"/>
    <w:rsid w:val="0FCE72CB"/>
    <w:rsid w:val="1031492B"/>
    <w:rsid w:val="10481C0F"/>
    <w:rsid w:val="11020FDA"/>
    <w:rsid w:val="111B419D"/>
    <w:rsid w:val="11551A52"/>
    <w:rsid w:val="126C329A"/>
    <w:rsid w:val="14294AD0"/>
    <w:rsid w:val="14975A60"/>
    <w:rsid w:val="14BF0B7A"/>
    <w:rsid w:val="14F50B39"/>
    <w:rsid w:val="16832F64"/>
    <w:rsid w:val="171F21BA"/>
    <w:rsid w:val="1768590F"/>
    <w:rsid w:val="17DF1E77"/>
    <w:rsid w:val="18120761"/>
    <w:rsid w:val="1AA5544C"/>
    <w:rsid w:val="1CAB05A9"/>
    <w:rsid w:val="1CF766F6"/>
    <w:rsid w:val="1D7FD149"/>
    <w:rsid w:val="1DAA1367"/>
    <w:rsid w:val="1DED1574"/>
    <w:rsid w:val="1EE41614"/>
    <w:rsid w:val="1EF4674C"/>
    <w:rsid w:val="1F190899"/>
    <w:rsid w:val="20CB104F"/>
    <w:rsid w:val="20E46FE8"/>
    <w:rsid w:val="21765657"/>
    <w:rsid w:val="22216021"/>
    <w:rsid w:val="24D740D4"/>
    <w:rsid w:val="24EA7D8D"/>
    <w:rsid w:val="25083D60"/>
    <w:rsid w:val="25164BFC"/>
    <w:rsid w:val="261004E6"/>
    <w:rsid w:val="26127ABA"/>
    <w:rsid w:val="262275D1"/>
    <w:rsid w:val="270F7B55"/>
    <w:rsid w:val="283B5F25"/>
    <w:rsid w:val="28414686"/>
    <w:rsid w:val="29465F48"/>
    <w:rsid w:val="2A54787B"/>
    <w:rsid w:val="2C745C2D"/>
    <w:rsid w:val="2C7D1A05"/>
    <w:rsid w:val="2D337167"/>
    <w:rsid w:val="2D8917DC"/>
    <w:rsid w:val="2DCC67C7"/>
    <w:rsid w:val="330D29B8"/>
    <w:rsid w:val="3320279F"/>
    <w:rsid w:val="3321087D"/>
    <w:rsid w:val="348E0F03"/>
    <w:rsid w:val="34A631E3"/>
    <w:rsid w:val="358B4CC2"/>
    <w:rsid w:val="35A62C8F"/>
    <w:rsid w:val="35E967DB"/>
    <w:rsid w:val="36B9188B"/>
    <w:rsid w:val="37397828"/>
    <w:rsid w:val="382A4631"/>
    <w:rsid w:val="388C60D5"/>
    <w:rsid w:val="38CF6B61"/>
    <w:rsid w:val="38D5034D"/>
    <w:rsid w:val="39A700C1"/>
    <w:rsid w:val="39DE261B"/>
    <w:rsid w:val="3A4C5DD7"/>
    <w:rsid w:val="3AA901B5"/>
    <w:rsid w:val="3AB407D9"/>
    <w:rsid w:val="3B5933C7"/>
    <w:rsid w:val="3BC7639E"/>
    <w:rsid w:val="3C6A4691"/>
    <w:rsid w:val="3CB80EBB"/>
    <w:rsid w:val="3D791D75"/>
    <w:rsid w:val="3D9A6814"/>
    <w:rsid w:val="3DCE20C0"/>
    <w:rsid w:val="3DD00B85"/>
    <w:rsid w:val="3E1B2A4E"/>
    <w:rsid w:val="3E323037"/>
    <w:rsid w:val="3E6E697D"/>
    <w:rsid w:val="3EC632D6"/>
    <w:rsid w:val="3F3D74FE"/>
    <w:rsid w:val="4014672F"/>
    <w:rsid w:val="402E6E46"/>
    <w:rsid w:val="41655E4C"/>
    <w:rsid w:val="444B2303"/>
    <w:rsid w:val="444E593D"/>
    <w:rsid w:val="4463394B"/>
    <w:rsid w:val="447D691C"/>
    <w:rsid w:val="4495070A"/>
    <w:rsid w:val="44C32D1F"/>
    <w:rsid w:val="45C63554"/>
    <w:rsid w:val="460A7988"/>
    <w:rsid w:val="46933BBE"/>
    <w:rsid w:val="470054BD"/>
    <w:rsid w:val="479E2B03"/>
    <w:rsid w:val="496C5184"/>
    <w:rsid w:val="4B3C1D9F"/>
    <w:rsid w:val="4B3D0885"/>
    <w:rsid w:val="4C2029B7"/>
    <w:rsid w:val="4C2F01CE"/>
    <w:rsid w:val="4E710F72"/>
    <w:rsid w:val="4FFF7BCB"/>
    <w:rsid w:val="53796C23"/>
    <w:rsid w:val="54ED3AE7"/>
    <w:rsid w:val="55122A11"/>
    <w:rsid w:val="55E055C2"/>
    <w:rsid w:val="56772E9D"/>
    <w:rsid w:val="56992E7A"/>
    <w:rsid w:val="5750766A"/>
    <w:rsid w:val="57D83E10"/>
    <w:rsid w:val="57E74DD6"/>
    <w:rsid w:val="581B3CFC"/>
    <w:rsid w:val="58440AC4"/>
    <w:rsid w:val="58DD7FD9"/>
    <w:rsid w:val="59EA7E2A"/>
    <w:rsid w:val="5A6279C1"/>
    <w:rsid w:val="5B7D2062"/>
    <w:rsid w:val="5CFFC61A"/>
    <w:rsid w:val="5DB1290C"/>
    <w:rsid w:val="5E577C8A"/>
    <w:rsid w:val="5E760228"/>
    <w:rsid w:val="5F354CD5"/>
    <w:rsid w:val="5FFFBC7E"/>
    <w:rsid w:val="6024654A"/>
    <w:rsid w:val="602C05AC"/>
    <w:rsid w:val="6089214B"/>
    <w:rsid w:val="61342E39"/>
    <w:rsid w:val="6138147B"/>
    <w:rsid w:val="62D13591"/>
    <w:rsid w:val="64192E81"/>
    <w:rsid w:val="645772E9"/>
    <w:rsid w:val="64E738E4"/>
    <w:rsid w:val="65293EFC"/>
    <w:rsid w:val="6662148C"/>
    <w:rsid w:val="66953493"/>
    <w:rsid w:val="66DF3CC5"/>
    <w:rsid w:val="675128DE"/>
    <w:rsid w:val="687B015C"/>
    <w:rsid w:val="68B95597"/>
    <w:rsid w:val="693437B9"/>
    <w:rsid w:val="6A1744C0"/>
    <w:rsid w:val="6A342D5C"/>
    <w:rsid w:val="6AF84AF7"/>
    <w:rsid w:val="6B7678FF"/>
    <w:rsid w:val="6C2C4689"/>
    <w:rsid w:val="6C572E7E"/>
    <w:rsid w:val="6C6C202C"/>
    <w:rsid w:val="6CFD7FAA"/>
    <w:rsid w:val="6D301BA0"/>
    <w:rsid w:val="6E682534"/>
    <w:rsid w:val="6F733438"/>
    <w:rsid w:val="70CB3E65"/>
    <w:rsid w:val="711E68DF"/>
    <w:rsid w:val="71211E57"/>
    <w:rsid w:val="71C72AD3"/>
    <w:rsid w:val="723F7F45"/>
    <w:rsid w:val="729B5D0E"/>
    <w:rsid w:val="744875E3"/>
    <w:rsid w:val="755D4B9A"/>
    <w:rsid w:val="763738F5"/>
    <w:rsid w:val="76B455F0"/>
    <w:rsid w:val="772779E0"/>
    <w:rsid w:val="772B7660"/>
    <w:rsid w:val="7BD55DED"/>
    <w:rsid w:val="7C5238E1"/>
    <w:rsid w:val="7DB77881"/>
    <w:rsid w:val="7F6CBC3D"/>
    <w:rsid w:val="7F6F7946"/>
    <w:rsid w:val="7F7B60DC"/>
    <w:rsid w:val="7FFB796F"/>
    <w:rsid w:val="7FFEBBB7"/>
    <w:rsid w:val="B2741A44"/>
    <w:rsid w:val="E7FCC9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outlineLvl w:val="0"/>
    </w:pPr>
    <w:rPr>
      <w:rFonts w:eastAsia="黑体"/>
      <w:b/>
      <w:kern w:val="44"/>
      <w:sz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4">
    <w:name w:val="Normal Indent"/>
    <w:basedOn w:val="1"/>
    <w:next w:val="1"/>
    <w:qFormat/>
    <w:uiPriority w:val="0"/>
    <w:pPr>
      <w:ind w:firstLine="420"/>
    </w:pPr>
    <w:rPr>
      <w:szCs w:val="20"/>
    </w:rPr>
  </w:style>
  <w:style w:type="paragraph" w:styleId="5">
    <w:name w:val="annotation text"/>
    <w:basedOn w:val="1"/>
    <w:qFormat/>
    <w:uiPriority w:val="0"/>
    <w:pPr>
      <w:jc w:val="left"/>
    </w:pPr>
  </w:style>
  <w:style w:type="paragraph" w:styleId="6">
    <w:name w:val="Plain Text"/>
    <w:basedOn w:val="1"/>
    <w:qFormat/>
    <w:uiPriority w:val="0"/>
    <w:rPr>
      <w:rFonts w:ascii="宋体" w:hAnsi="Courier New" w:cs="Courier New"/>
    </w:rPr>
  </w:style>
  <w:style w:type="paragraph" w:styleId="7">
    <w:name w:val="Body Text Indent 2"/>
    <w:qFormat/>
    <w:uiPriority w:val="0"/>
    <w:pPr>
      <w:widowControl w:val="0"/>
      <w:spacing w:line="480" w:lineRule="exact"/>
      <w:ind w:left="810" w:firstLine="675"/>
      <w:jc w:val="both"/>
    </w:pPr>
    <w:rPr>
      <w:rFonts w:ascii="Calibri" w:hAnsi="Calibri" w:eastAsia="仿宋_GB2312" w:cs="Times New Roman"/>
      <w:kern w:val="2"/>
      <w:sz w:val="30"/>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2">
    <w:name w:val="Strong"/>
    <w:basedOn w:val="11"/>
    <w:qFormat/>
    <w:uiPriority w:val="0"/>
    <w:rPr>
      <w:b/>
    </w:rPr>
  </w:style>
  <w:style w:type="paragraph" w:customStyle="1" w:styleId="13">
    <w:name w:val="正文_0_0"/>
    <w:qFormat/>
    <w:uiPriority w:val="0"/>
    <w:pPr>
      <w:widowControl w:val="0"/>
      <w:spacing w:line="360" w:lineRule="auto"/>
      <w:ind w:firstLine="560" w:firstLineChars="200"/>
    </w:pPr>
    <w:rPr>
      <w:rFonts w:ascii="宋体" w:hAnsi="宋体" w:eastAsia="宋体" w:cs="宋体"/>
      <w:kern w:val="2"/>
      <w:sz w:val="28"/>
      <w:szCs w:val="28"/>
      <w:lang w:val="en-US" w:eastAsia="zh-CN" w:bidi="ar-SA"/>
    </w:r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dd4288-de5d-4d8f-8bbf-fc2eec86dde9}">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1062</Words>
  <Characters>1085</Characters>
  <Lines>0</Lines>
  <Paragraphs>0</Paragraphs>
  <TotalTime>3</TotalTime>
  <ScaleCrop>false</ScaleCrop>
  <LinksUpToDate>false</LinksUpToDate>
  <CharactersWithSpaces>1088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2022-11-16T23:26:00Z</dcterms:created>
  <dc:creator>fangjiaqin</dc:creator>
  <cp:lastModifiedBy>何幸容</cp:lastModifiedBy>
  <dcterms:modified xsi:type="dcterms:W3CDTF">2026-08-11T08:57:30Z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E52CB2432AD3532A216A756A4B596264_43</vt:lpwstr>
  </property>
  <property fmtid="{D5CDD505-2E9C-101B-9397-08002B2CF9AE}" pid="4" name="KSOTemplateDocerSaveRecord">
    <vt:lpwstr>eyJoZGlkIjoiOWU1MTc1YzM4ZWJmZjE2ZmEyYzlmNzA5ZGY5NDJlZTciLCJ1c2VySWQiOiIzMTExNjA3ODIifQ==</vt:lpwstr>
  </property>
</Properties>
</file>