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44507">
      <w:pPr>
        <w:spacing w:line="579" w:lineRule="exact"/>
        <w:jc w:val="center"/>
        <w:rPr>
          <w:rFonts w:hint="eastAsia" w:ascii="方正小标宋简体" w:hAnsi="仿宋" w:eastAsia="方正小标宋简体" w:cs="Times New Roman"/>
          <w:color w:val="auto"/>
          <w:sz w:val="44"/>
          <w:szCs w:val="44"/>
          <w:highlight w:val="none"/>
          <w:lang w:val="en-US" w:eastAsia="zh-CN"/>
        </w:rPr>
      </w:pPr>
      <w:r>
        <w:rPr>
          <w:rFonts w:hint="eastAsia" w:ascii="方正小标宋简体" w:hAnsi="仿宋" w:eastAsia="方正小标宋简体" w:cs="Times New Roman"/>
          <w:color w:val="auto"/>
          <w:sz w:val="44"/>
          <w:szCs w:val="44"/>
          <w:highlight w:val="none"/>
          <w:lang w:val="en-US" w:eastAsia="zh-CN"/>
        </w:rPr>
        <w:t>《</w:t>
      </w:r>
      <w:r>
        <w:rPr>
          <w:rFonts w:hint="eastAsia" w:ascii="方正小标宋简体" w:hAnsi="方正小标宋简体" w:eastAsia="方正小标宋简体" w:cs="方正小标宋简体"/>
          <w:i w:val="0"/>
          <w:iCs w:val="0"/>
          <w:caps w:val="0"/>
          <w:color w:val="1F2329"/>
          <w:spacing w:val="0"/>
          <w:sz w:val="44"/>
          <w:szCs w:val="44"/>
          <w:shd w:val="clear" w:fill="FFFFFF"/>
          <w:lang w:val="en-US" w:eastAsia="zh-CN"/>
        </w:rPr>
        <w:t>伯牙小学改扩建</w:t>
      </w:r>
      <w:r>
        <w:rPr>
          <w:rFonts w:hint="eastAsia" w:ascii="方正小标宋简体" w:hAnsi="仿宋" w:eastAsia="方正小标宋简体" w:cs="Times New Roman"/>
          <w:color w:val="auto"/>
          <w:sz w:val="44"/>
          <w:szCs w:val="44"/>
          <w:highlight w:val="none"/>
          <w:lang w:val="en-US" w:eastAsia="zh-CN"/>
        </w:rPr>
        <w:t>项目代建服务》</w:t>
      </w:r>
    </w:p>
    <w:p w14:paraId="2464FABC">
      <w:pPr>
        <w:spacing w:line="579" w:lineRule="exact"/>
        <w:jc w:val="center"/>
        <w:rPr>
          <w:rFonts w:ascii="方正小标宋简体" w:hAnsi="仿宋" w:eastAsia="方正小标宋简体"/>
          <w:color w:val="auto"/>
          <w:sz w:val="44"/>
          <w:szCs w:val="44"/>
          <w:highlight w:val="none"/>
        </w:rPr>
      </w:pPr>
      <w:r>
        <w:rPr>
          <w:rFonts w:hint="eastAsia" w:ascii="方正小标宋简体" w:hAnsi="仿宋" w:eastAsia="方正小标宋简体" w:cs="Times New Roman"/>
          <w:color w:val="auto"/>
          <w:sz w:val="44"/>
          <w:szCs w:val="44"/>
          <w:highlight w:val="none"/>
        </w:rPr>
        <w:t>评分标准</w:t>
      </w:r>
    </w:p>
    <w:p w14:paraId="43232447">
      <w:pPr>
        <w:rPr>
          <w:color w:val="auto"/>
          <w:highlight w:val="none"/>
        </w:rPr>
      </w:pPr>
    </w:p>
    <w:p w14:paraId="4C291499">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本项目采用综合评分法进行评审，具体评分细则详见综合评分表。评价指标及权重：</w:t>
      </w:r>
    </w:p>
    <w:tbl>
      <w:tblPr>
        <w:tblStyle w:val="11"/>
        <w:tblpPr w:leftFromText="180" w:rightFromText="180" w:vertAnchor="text" w:horzAnchor="page" w:tblpX="3370" w:tblpY="195"/>
        <w:tblOverlap w:val="never"/>
        <w:tblW w:w="5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61"/>
        <w:gridCol w:w="2078"/>
      </w:tblGrid>
      <w:tr w14:paraId="1BA5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61" w:type="dxa"/>
            <w:vAlign w:val="center"/>
          </w:tcPr>
          <w:p w14:paraId="4877A16B">
            <w:pPr>
              <w:spacing w:line="400" w:lineRule="exact"/>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评价指标</w:t>
            </w:r>
          </w:p>
        </w:tc>
        <w:tc>
          <w:tcPr>
            <w:tcW w:w="2078" w:type="dxa"/>
            <w:vAlign w:val="center"/>
          </w:tcPr>
          <w:p w14:paraId="6754EA07">
            <w:pPr>
              <w:spacing w:line="400" w:lineRule="exact"/>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指标权重</w:t>
            </w:r>
          </w:p>
        </w:tc>
      </w:tr>
      <w:tr w14:paraId="1063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761" w:type="dxa"/>
            <w:vAlign w:val="center"/>
          </w:tcPr>
          <w:p w14:paraId="5515B5DE">
            <w:pPr>
              <w:spacing w:line="40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技术部分</w:t>
            </w:r>
          </w:p>
        </w:tc>
        <w:tc>
          <w:tcPr>
            <w:tcW w:w="2078" w:type="dxa"/>
            <w:vAlign w:val="center"/>
          </w:tcPr>
          <w:p w14:paraId="2C32E6BA">
            <w:pPr>
              <w:spacing w:line="400" w:lineRule="exact"/>
              <w:jc w:val="center"/>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55</w:t>
            </w:r>
          </w:p>
        </w:tc>
      </w:tr>
      <w:tr w14:paraId="62B5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trPr>
        <w:tc>
          <w:tcPr>
            <w:tcW w:w="3761" w:type="dxa"/>
            <w:vAlign w:val="center"/>
          </w:tcPr>
          <w:p w14:paraId="7A9A5ECC">
            <w:pPr>
              <w:spacing w:line="40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商务部分</w:t>
            </w:r>
          </w:p>
        </w:tc>
        <w:tc>
          <w:tcPr>
            <w:tcW w:w="2078" w:type="dxa"/>
            <w:vAlign w:val="center"/>
          </w:tcPr>
          <w:p w14:paraId="4D6A2596">
            <w:pPr>
              <w:spacing w:line="400" w:lineRule="exact"/>
              <w:jc w:val="center"/>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35</w:t>
            </w:r>
          </w:p>
        </w:tc>
      </w:tr>
      <w:tr w14:paraId="7478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761" w:type="dxa"/>
            <w:vAlign w:val="center"/>
          </w:tcPr>
          <w:p w14:paraId="19059188">
            <w:pPr>
              <w:spacing w:line="40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经济价格</w:t>
            </w:r>
          </w:p>
        </w:tc>
        <w:tc>
          <w:tcPr>
            <w:tcW w:w="2078" w:type="dxa"/>
            <w:vAlign w:val="center"/>
          </w:tcPr>
          <w:p w14:paraId="3FF17FB9">
            <w:pPr>
              <w:spacing w:line="40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10</w:t>
            </w:r>
          </w:p>
        </w:tc>
      </w:tr>
      <w:tr w14:paraId="0EE7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761" w:type="dxa"/>
            <w:vAlign w:val="center"/>
          </w:tcPr>
          <w:p w14:paraId="5B4F09F9">
            <w:pPr>
              <w:spacing w:line="40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合计</w:t>
            </w:r>
          </w:p>
        </w:tc>
        <w:tc>
          <w:tcPr>
            <w:tcW w:w="2078" w:type="dxa"/>
            <w:vAlign w:val="center"/>
          </w:tcPr>
          <w:p w14:paraId="681B658F">
            <w:pPr>
              <w:spacing w:line="40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100</w:t>
            </w:r>
          </w:p>
        </w:tc>
      </w:tr>
    </w:tbl>
    <w:p w14:paraId="66560492">
      <w:pPr>
        <w:spacing w:line="600" w:lineRule="exact"/>
        <w:rPr>
          <w:rFonts w:ascii="仿宋_GB2312" w:hAnsi="仿宋_GB2312" w:eastAsia="仿宋_GB2312" w:cs="仿宋_GB2312"/>
          <w:b/>
          <w:bCs/>
          <w:color w:val="auto"/>
          <w:sz w:val="32"/>
          <w:szCs w:val="32"/>
          <w:highlight w:val="none"/>
        </w:rPr>
      </w:pPr>
    </w:p>
    <w:p w14:paraId="65F29623">
      <w:pPr>
        <w:spacing w:line="600" w:lineRule="exact"/>
        <w:rPr>
          <w:rFonts w:ascii="仿宋_GB2312" w:hAnsi="仿宋_GB2312" w:eastAsia="仿宋_GB2312" w:cs="仿宋_GB2312"/>
          <w:color w:val="auto"/>
          <w:sz w:val="32"/>
          <w:szCs w:val="32"/>
          <w:highlight w:val="none"/>
        </w:rPr>
      </w:pPr>
    </w:p>
    <w:p w14:paraId="05DD3238">
      <w:pPr>
        <w:spacing w:line="600" w:lineRule="exact"/>
        <w:rPr>
          <w:rFonts w:ascii="仿宋_GB2312" w:hAnsi="仿宋_GB2312" w:eastAsia="仿宋_GB2312" w:cs="仿宋_GB2312"/>
          <w:color w:val="auto"/>
          <w:sz w:val="32"/>
          <w:szCs w:val="32"/>
          <w:highlight w:val="none"/>
        </w:rPr>
      </w:pPr>
    </w:p>
    <w:p w14:paraId="6BC1A52C">
      <w:pPr>
        <w:spacing w:line="600" w:lineRule="exact"/>
        <w:rPr>
          <w:rFonts w:ascii="仿宋_GB2312" w:hAnsi="仿宋_GB2312" w:eastAsia="仿宋_GB2312" w:cs="仿宋_GB2312"/>
          <w:color w:val="auto"/>
          <w:sz w:val="32"/>
          <w:szCs w:val="32"/>
          <w:highlight w:val="none"/>
        </w:rPr>
      </w:pPr>
    </w:p>
    <w:p w14:paraId="7610153A">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特别说明：</w:t>
      </w:r>
    </w:p>
    <w:p w14:paraId="2805B0AA">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（一）将所有商务技术评价指标所得实际评价分数相加，即为该</w:t>
      </w:r>
      <w:r>
        <w:rPr>
          <w:rFonts w:hint="eastAsia" w:ascii="仿宋_GB2312" w:hAnsi="仿宋_GB2312" w:eastAsia="仿宋_GB2312" w:cs="仿宋_GB2312"/>
          <w:color w:val="auto"/>
          <w:sz w:val="32"/>
          <w:szCs w:val="32"/>
          <w:highlight w:val="none"/>
          <w:lang w:val="en-US" w:eastAsia="zh-CN"/>
        </w:rPr>
        <w:t>供应商</w:t>
      </w:r>
      <w:r>
        <w:rPr>
          <w:rFonts w:hint="eastAsia" w:ascii="仿宋_GB2312" w:hAnsi="仿宋_GB2312" w:eastAsia="仿宋_GB2312" w:cs="仿宋_GB2312"/>
          <w:color w:val="auto"/>
          <w:sz w:val="32"/>
          <w:szCs w:val="32"/>
          <w:highlight w:val="none"/>
        </w:rPr>
        <w:t>的商务技术评价得分，所有评委评出的商务技术评价得分取平均值为该</w:t>
      </w:r>
      <w:r>
        <w:rPr>
          <w:rFonts w:hint="eastAsia" w:ascii="仿宋_GB2312" w:hAnsi="仿宋_GB2312" w:eastAsia="仿宋_GB2312" w:cs="仿宋_GB2312"/>
          <w:color w:val="auto"/>
          <w:sz w:val="32"/>
          <w:szCs w:val="32"/>
          <w:highlight w:val="none"/>
          <w:lang w:eastAsia="zh-CN"/>
        </w:rPr>
        <w:t>供应商</w:t>
      </w:r>
      <w:r>
        <w:rPr>
          <w:rFonts w:hint="eastAsia" w:ascii="仿宋_GB2312" w:hAnsi="仿宋_GB2312" w:eastAsia="仿宋_GB2312" w:cs="仿宋_GB2312"/>
          <w:color w:val="auto"/>
          <w:sz w:val="32"/>
          <w:szCs w:val="32"/>
          <w:highlight w:val="none"/>
        </w:rPr>
        <w:t>的商务技术标得分。</w:t>
      </w:r>
    </w:p>
    <w:p w14:paraId="79B4D1E9">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（二）经济价格标得分=(评标基准价/评标价)×价格指标权重×100。</w:t>
      </w:r>
    </w:p>
    <w:p w14:paraId="4838EA09">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上述公式中的“评标基准价”是指满足项目需求书要求的最低评标价，其价格得分为满分。评标价为在报价基础上作算术修正后的价格，无算术修正情况下，报价即为评标价。</w:t>
      </w:r>
    </w:p>
    <w:p w14:paraId="020F31C4">
      <w:pPr>
        <w:numPr>
          <w:ilvl w:val="0"/>
          <w:numId w:val="1"/>
        </w:num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投标最终得分 = 商务标得分 + 技术标得分＋经济价格标得分。</w:t>
      </w:r>
    </w:p>
    <w:p w14:paraId="7692F752">
      <w:pPr>
        <w:pStyle w:val="5"/>
        <w:ind w:left="1260"/>
        <w:rPr>
          <w:rFonts w:hint="default" w:ascii="仿宋_GB2312" w:hAnsi="仿宋_GB2312" w:eastAsia="仿宋_GB2312" w:cs="仿宋_GB2312"/>
          <w:color w:val="auto"/>
          <w:sz w:val="32"/>
          <w:szCs w:val="32"/>
          <w:highlight w:val="none"/>
        </w:rPr>
      </w:pPr>
    </w:p>
    <w:p w14:paraId="14A4C873">
      <w:pPr>
        <w:rPr>
          <w:rFonts w:hint="default" w:ascii="仿宋_GB2312" w:hAnsi="仿宋_GB2312" w:eastAsia="仿宋_GB2312" w:cs="仿宋_GB2312"/>
          <w:color w:val="auto"/>
          <w:sz w:val="32"/>
          <w:szCs w:val="32"/>
          <w:highlight w:val="none"/>
        </w:rPr>
      </w:pPr>
    </w:p>
    <w:p w14:paraId="752A8BD7">
      <w:pPr>
        <w:rPr>
          <w:rFonts w:hint="default" w:ascii="仿宋_GB2312" w:hAnsi="仿宋_GB2312" w:eastAsia="仿宋_GB2312" w:cs="仿宋_GB2312"/>
          <w:color w:val="auto"/>
          <w:sz w:val="32"/>
          <w:szCs w:val="32"/>
          <w:highlight w:val="none"/>
        </w:rPr>
      </w:pPr>
    </w:p>
    <w:p w14:paraId="7C474789">
      <w:pPr>
        <w:rPr>
          <w:color w:val="auto"/>
          <w:highlight w:val="none"/>
        </w:rPr>
      </w:pPr>
    </w:p>
    <w:p w14:paraId="351B38A2">
      <w:pPr>
        <w:rPr>
          <w:color w:val="auto"/>
          <w:highlight w:val="none"/>
        </w:rPr>
      </w:pPr>
    </w:p>
    <w:tbl>
      <w:tblPr>
        <w:tblStyle w:val="11"/>
        <w:tblW w:w="907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01"/>
        <w:gridCol w:w="1072"/>
        <w:gridCol w:w="6598"/>
        <w:gridCol w:w="700"/>
      </w:tblGrid>
      <w:tr w14:paraId="4C3B0D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66" w:hRule="atLeast"/>
          <w:jc w:val="center"/>
        </w:trPr>
        <w:tc>
          <w:tcPr>
            <w:tcW w:w="1773" w:type="dxa"/>
            <w:gridSpan w:val="2"/>
            <w:vAlign w:val="center"/>
          </w:tcPr>
          <w:p w14:paraId="776BBFFF">
            <w:pPr>
              <w:widowControl/>
              <w:jc w:val="center"/>
              <w:rPr>
                <w:rFonts w:ascii="宋体" w:cs="宋体"/>
                <w:b/>
                <w:color w:val="auto"/>
                <w:kern w:val="0"/>
                <w:sz w:val="24"/>
                <w:highlight w:val="none"/>
              </w:rPr>
            </w:pPr>
            <w:r>
              <w:rPr>
                <w:rFonts w:hint="eastAsia" w:ascii="宋体" w:hAnsi="宋体" w:cs="宋体"/>
                <w:b/>
                <w:color w:val="auto"/>
                <w:kern w:val="0"/>
                <w:sz w:val="24"/>
                <w:highlight w:val="none"/>
              </w:rPr>
              <w:t>评分项目</w:t>
            </w:r>
          </w:p>
        </w:tc>
        <w:tc>
          <w:tcPr>
            <w:tcW w:w="6598" w:type="dxa"/>
            <w:vAlign w:val="center"/>
          </w:tcPr>
          <w:p w14:paraId="01B6C441">
            <w:pPr>
              <w:widowControl/>
              <w:jc w:val="center"/>
              <w:rPr>
                <w:rFonts w:ascii="宋体" w:cs="宋体"/>
                <w:b/>
                <w:color w:val="auto"/>
                <w:kern w:val="0"/>
                <w:sz w:val="24"/>
                <w:highlight w:val="none"/>
              </w:rPr>
            </w:pPr>
            <w:r>
              <w:rPr>
                <w:rFonts w:hint="eastAsia" w:ascii="宋体" w:hAnsi="宋体" w:cs="宋体"/>
                <w:b/>
                <w:color w:val="auto"/>
                <w:kern w:val="0"/>
                <w:sz w:val="24"/>
                <w:highlight w:val="none"/>
              </w:rPr>
              <w:t>评分标准</w:t>
            </w:r>
          </w:p>
        </w:tc>
        <w:tc>
          <w:tcPr>
            <w:tcW w:w="700" w:type="dxa"/>
            <w:vAlign w:val="center"/>
          </w:tcPr>
          <w:p w14:paraId="7AB746D7">
            <w:pPr>
              <w:widowControl/>
              <w:jc w:val="center"/>
              <w:rPr>
                <w:rFonts w:ascii="宋体" w:cs="宋体"/>
                <w:b/>
                <w:color w:val="auto"/>
                <w:kern w:val="0"/>
                <w:sz w:val="24"/>
                <w:highlight w:val="none"/>
              </w:rPr>
            </w:pPr>
            <w:r>
              <w:rPr>
                <w:rFonts w:hint="eastAsia" w:ascii="宋体" w:hAnsi="宋体" w:cs="宋体"/>
                <w:b/>
                <w:color w:val="auto"/>
                <w:kern w:val="0"/>
                <w:sz w:val="24"/>
                <w:highlight w:val="none"/>
              </w:rPr>
              <w:t>得分</w:t>
            </w:r>
          </w:p>
        </w:tc>
      </w:tr>
      <w:tr w14:paraId="086A51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10" w:hRule="atLeast"/>
          <w:jc w:val="center"/>
        </w:trPr>
        <w:tc>
          <w:tcPr>
            <w:tcW w:w="701" w:type="dxa"/>
            <w:vMerge w:val="restart"/>
            <w:vAlign w:val="center"/>
          </w:tcPr>
          <w:p w14:paraId="2794C977">
            <w:pPr>
              <w:widowControl/>
              <w:jc w:val="left"/>
              <w:rPr>
                <w:rFonts w:ascii="宋体" w:cs="宋体"/>
                <w:b w:val="0"/>
                <w:bCs w:val="0"/>
                <w:color w:val="auto"/>
                <w:kern w:val="0"/>
                <w:sz w:val="24"/>
                <w:highlight w:val="none"/>
              </w:rPr>
            </w:pPr>
            <w:r>
              <w:rPr>
                <w:rFonts w:hint="eastAsia" w:ascii="宋体" w:cs="宋体"/>
                <w:b w:val="0"/>
                <w:bCs w:val="0"/>
                <w:color w:val="auto"/>
                <w:kern w:val="0"/>
                <w:sz w:val="24"/>
                <w:highlight w:val="none"/>
              </w:rPr>
              <w:t>技术部分</w:t>
            </w:r>
            <w:r>
              <w:rPr>
                <w:rFonts w:hint="eastAsia" w:ascii="宋体" w:cs="宋体"/>
                <w:b w:val="0"/>
                <w:bCs w:val="0"/>
                <w:color w:val="auto"/>
                <w:kern w:val="0"/>
                <w:sz w:val="24"/>
                <w:highlight w:val="none"/>
                <w:lang w:val="en-US" w:eastAsia="zh-CN"/>
              </w:rPr>
              <w:t>55</w:t>
            </w:r>
            <w:r>
              <w:rPr>
                <w:rFonts w:hint="eastAsia" w:ascii="宋体" w:cs="宋体"/>
                <w:b w:val="0"/>
                <w:bCs w:val="0"/>
                <w:color w:val="auto"/>
                <w:kern w:val="0"/>
                <w:sz w:val="24"/>
                <w:highlight w:val="none"/>
              </w:rPr>
              <w:t>分</w:t>
            </w:r>
          </w:p>
        </w:tc>
        <w:tc>
          <w:tcPr>
            <w:tcW w:w="1072" w:type="dxa"/>
            <w:vAlign w:val="center"/>
          </w:tcPr>
          <w:p w14:paraId="61C59BF9">
            <w:pPr>
              <w:pStyle w:val="6"/>
              <w:widowControl/>
              <w:numPr>
                <w:ilvl w:val="-1"/>
                <w:numId w:val="0"/>
              </w:numPr>
              <w:adjustRightInd w:val="0"/>
              <w:snapToGrid w:val="0"/>
              <w:spacing w:line="360" w:lineRule="exact"/>
              <w:jc w:val="center"/>
              <w:rPr>
                <w:rFonts w:hAnsi="宋体" w:cs="宋体"/>
                <w:b w:val="0"/>
                <w:bCs/>
                <w:color w:val="auto"/>
                <w:sz w:val="24"/>
                <w:highlight w:val="none"/>
              </w:rPr>
            </w:pPr>
            <w:r>
              <w:rPr>
                <w:rFonts w:hAnsi="宋体" w:cs="宋体"/>
                <w:bCs/>
                <w:color w:val="auto"/>
                <w:sz w:val="24"/>
                <w:highlight w:val="none"/>
              </w:rPr>
              <w:t>对代建管理的理解</w:t>
            </w:r>
          </w:p>
        </w:tc>
        <w:tc>
          <w:tcPr>
            <w:tcW w:w="6598" w:type="dxa"/>
            <w:vAlign w:val="center"/>
          </w:tcPr>
          <w:p w14:paraId="4CDEEBF4">
            <w:pPr>
              <w:pStyle w:val="6"/>
              <w:numPr>
                <w:ilvl w:val="-1"/>
                <w:numId w:val="0"/>
              </w:numPr>
              <w:adjustRightInd w:val="0"/>
              <w:snapToGrid w:val="0"/>
              <w:spacing w:line="360" w:lineRule="exact"/>
              <w:rPr>
                <w:rFonts w:hAnsi="宋体" w:cs="宋体"/>
                <w:bCs/>
                <w:color w:val="auto"/>
                <w:sz w:val="24"/>
                <w:highlight w:val="none"/>
              </w:rPr>
            </w:pPr>
            <w:r>
              <w:rPr>
                <w:rFonts w:hAnsi="宋体" w:cs="宋体"/>
                <w:bCs/>
                <w:color w:val="auto"/>
                <w:sz w:val="24"/>
                <w:highlight w:val="none"/>
              </w:rPr>
              <w:t>根据</w:t>
            </w:r>
            <w:r>
              <w:rPr>
                <w:rFonts w:hint="eastAsia" w:hAnsi="宋体" w:cs="宋体"/>
                <w:bCs/>
                <w:color w:val="auto"/>
                <w:sz w:val="24"/>
                <w:highlight w:val="none"/>
                <w:lang w:val="en-US" w:eastAsia="zh-CN"/>
              </w:rPr>
              <w:t>“改扩建”</w:t>
            </w:r>
            <w:r>
              <w:rPr>
                <w:rFonts w:hAnsi="宋体" w:cs="宋体"/>
                <w:bCs/>
                <w:color w:val="auto"/>
                <w:sz w:val="24"/>
                <w:highlight w:val="none"/>
              </w:rPr>
              <w:t>核心需求及代建全流程要求，编制对代建管理的理解方案，核心内容应包括但不限于对项目总体的认识、重点难点分析、代建前期 + 建设实施阶段核心逻辑的把握、合规性管控重点识别、廉政合规要求认知、多方协同（采购人/使用单位/参建方）逻辑等：</w:t>
            </w:r>
          </w:p>
          <w:p w14:paraId="517545F5">
            <w:pPr>
              <w:pStyle w:val="6"/>
              <w:numPr>
                <w:ilvl w:val="0"/>
                <w:numId w:val="2"/>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内容详细完整</w:t>
            </w:r>
            <w:r>
              <w:rPr>
                <w:rFonts w:hint="eastAsia" w:hAnsi="宋体" w:cs="宋体"/>
                <w:bCs/>
                <w:color w:val="auto"/>
                <w:sz w:val="24"/>
                <w:highlight w:val="none"/>
                <w:lang w:eastAsia="zh-CN"/>
              </w:rPr>
              <w:t>，</w:t>
            </w:r>
            <w:r>
              <w:rPr>
                <w:rFonts w:hAnsi="宋体" w:cs="宋体"/>
                <w:bCs/>
                <w:color w:val="auto"/>
                <w:sz w:val="24"/>
                <w:highlight w:val="none"/>
              </w:rPr>
              <w:t>对项目核心需求认知精准，</w:t>
            </w:r>
            <w:r>
              <w:rPr>
                <w:rFonts w:hint="eastAsia" w:hAnsi="宋体" w:cs="宋体"/>
                <w:bCs/>
                <w:color w:val="auto"/>
                <w:sz w:val="24"/>
                <w:highlight w:val="none"/>
                <w:lang w:val="en-US" w:eastAsia="zh-CN"/>
              </w:rPr>
              <w:t>重点</w:t>
            </w:r>
            <w:r>
              <w:rPr>
                <w:rFonts w:hAnsi="宋体" w:cs="宋体"/>
                <w:bCs/>
                <w:color w:val="auto"/>
                <w:sz w:val="24"/>
                <w:highlight w:val="none"/>
              </w:rPr>
              <w:t>难点分析科学</w:t>
            </w:r>
            <w:r>
              <w:rPr>
                <w:rFonts w:hint="eastAsia" w:hAnsi="宋体" w:cs="宋体"/>
                <w:bCs/>
                <w:color w:val="auto"/>
                <w:sz w:val="24"/>
                <w:highlight w:val="none"/>
                <w:lang w:val="en-US" w:eastAsia="zh-CN"/>
              </w:rPr>
              <w:t>合理</w:t>
            </w:r>
            <w:r>
              <w:rPr>
                <w:rFonts w:hAnsi="宋体" w:cs="宋体"/>
                <w:bCs/>
                <w:color w:val="auto"/>
                <w:sz w:val="24"/>
                <w:highlight w:val="none"/>
              </w:rPr>
              <w:t>，代建与协同逻辑清晰，有利于后续工作统筹的，得</w:t>
            </w:r>
            <w:r>
              <w:rPr>
                <w:rFonts w:hint="eastAsia" w:hAnsi="宋体" w:cs="宋体"/>
                <w:bCs/>
                <w:color w:val="auto"/>
                <w:sz w:val="24"/>
                <w:highlight w:val="none"/>
                <w:lang w:val="en-US" w:eastAsia="zh-CN"/>
              </w:rPr>
              <w:t>10</w:t>
            </w:r>
            <w:r>
              <w:rPr>
                <w:rFonts w:hAnsi="宋体" w:cs="宋体"/>
                <w:bCs/>
                <w:color w:val="auto"/>
                <w:sz w:val="24"/>
                <w:highlight w:val="none"/>
              </w:rPr>
              <w:t>分；</w:t>
            </w:r>
          </w:p>
          <w:p w14:paraId="2B7F6139">
            <w:pPr>
              <w:pStyle w:val="6"/>
              <w:numPr>
                <w:ilvl w:val="0"/>
                <w:numId w:val="2"/>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内容较完整</w:t>
            </w:r>
            <w:r>
              <w:rPr>
                <w:rFonts w:hint="eastAsia" w:hAnsi="宋体" w:cs="宋体"/>
                <w:bCs/>
                <w:color w:val="auto"/>
                <w:sz w:val="24"/>
                <w:highlight w:val="none"/>
                <w:lang w:eastAsia="zh-CN"/>
              </w:rPr>
              <w:t>，</w:t>
            </w:r>
            <w:r>
              <w:rPr>
                <w:rFonts w:hAnsi="宋体" w:cs="宋体"/>
                <w:bCs/>
                <w:color w:val="auto"/>
                <w:sz w:val="24"/>
                <w:highlight w:val="none"/>
              </w:rPr>
              <w:t>对项目核心需求认知较准确，</w:t>
            </w:r>
            <w:r>
              <w:rPr>
                <w:rFonts w:hint="eastAsia" w:hAnsi="宋体" w:cs="宋体"/>
                <w:bCs/>
                <w:color w:val="auto"/>
                <w:sz w:val="24"/>
                <w:highlight w:val="none"/>
                <w:lang w:val="en-US" w:eastAsia="zh-CN"/>
              </w:rPr>
              <w:t>重点</w:t>
            </w:r>
            <w:r>
              <w:rPr>
                <w:rFonts w:hAnsi="宋体" w:cs="宋体"/>
                <w:bCs/>
                <w:color w:val="auto"/>
                <w:sz w:val="24"/>
                <w:highlight w:val="none"/>
              </w:rPr>
              <w:t>难点分析</w:t>
            </w:r>
            <w:r>
              <w:rPr>
                <w:rFonts w:hint="eastAsia" w:hAnsi="宋体" w:cs="宋体"/>
                <w:bCs/>
                <w:color w:val="auto"/>
                <w:sz w:val="24"/>
                <w:highlight w:val="none"/>
                <w:lang w:val="en-US" w:eastAsia="zh-CN"/>
              </w:rPr>
              <w:t>较科学</w:t>
            </w:r>
            <w:r>
              <w:rPr>
                <w:rFonts w:hAnsi="宋体" w:cs="宋体"/>
                <w:bCs/>
                <w:color w:val="auto"/>
                <w:sz w:val="24"/>
                <w:highlight w:val="none"/>
              </w:rPr>
              <w:t>合理，代建与协同逻辑较清晰，能保障后续工作统筹的，得</w:t>
            </w:r>
            <w:r>
              <w:rPr>
                <w:rFonts w:hint="eastAsia" w:hAnsi="宋体" w:cs="宋体"/>
                <w:bCs/>
                <w:color w:val="auto"/>
                <w:sz w:val="24"/>
                <w:highlight w:val="none"/>
                <w:lang w:val="en-US" w:eastAsia="zh-CN"/>
              </w:rPr>
              <w:t>7</w:t>
            </w:r>
            <w:r>
              <w:rPr>
                <w:rFonts w:hAnsi="宋体" w:cs="宋体"/>
                <w:bCs/>
                <w:color w:val="auto"/>
                <w:sz w:val="24"/>
                <w:highlight w:val="none"/>
              </w:rPr>
              <w:t>分；</w:t>
            </w:r>
          </w:p>
          <w:p w14:paraId="1B3AA775">
            <w:pPr>
              <w:pStyle w:val="6"/>
              <w:numPr>
                <w:ilvl w:val="0"/>
                <w:numId w:val="2"/>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内容基本完整</w:t>
            </w:r>
            <w:r>
              <w:rPr>
                <w:rFonts w:hint="eastAsia" w:hAnsi="宋体" w:cs="宋体"/>
                <w:bCs/>
                <w:color w:val="auto"/>
                <w:sz w:val="24"/>
                <w:highlight w:val="none"/>
                <w:lang w:eastAsia="zh-CN"/>
              </w:rPr>
              <w:t>，</w:t>
            </w:r>
            <w:r>
              <w:rPr>
                <w:rFonts w:hAnsi="宋体" w:cs="宋体"/>
                <w:bCs/>
                <w:color w:val="auto"/>
                <w:sz w:val="24"/>
                <w:highlight w:val="none"/>
              </w:rPr>
              <w:t>对项目需求有基本认知，</w:t>
            </w:r>
            <w:r>
              <w:rPr>
                <w:rFonts w:hint="eastAsia" w:hAnsi="宋体" w:cs="宋体"/>
                <w:bCs/>
                <w:color w:val="auto"/>
                <w:sz w:val="24"/>
                <w:highlight w:val="none"/>
                <w:lang w:val="en-US" w:eastAsia="zh-CN"/>
              </w:rPr>
              <w:t>重点</w:t>
            </w:r>
            <w:r>
              <w:rPr>
                <w:rFonts w:hAnsi="宋体" w:cs="宋体"/>
                <w:bCs/>
                <w:color w:val="auto"/>
                <w:sz w:val="24"/>
                <w:highlight w:val="none"/>
              </w:rPr>
              <w:t>难点分析合理性一般，代建与协同逻辑基本清晰，基本能保障核心工作统筹的，得</w:t>
            </w:r>
            <w:r>
              <w:rPr>
                <w:rFonts w:hint="eastAsia" w:hAnsi="宋体" w:cs="宋体"/>
                <w:bCs/>
                <w:color w:val="auto"/>
                <w:sz w:val="24"/>
                <w:highlight w:val="none"/>
                <w:lang w:val="en-US" w:eastAsia="zh-CN"/>
              </w:rPr>
              <w:t>4</w:t>
            </w:r>
            <w:r>
              <w:rPr>
                <w:rFonts w:hAnsi="宋体" w:cs="宋体"/>
                <w:bCs/>
                <w:color w:val="auto"/>
                <w:sz w:val="24"/>
                <w:highlight w:val="none"/>
              </w:rPr>
              <w:t>分；</w:t>
            </w:r>
          </w:p>
          <w:p w14:paraId="68F3FB87">
            <w:pPr>
              <w:pStyle w:val="6"/>
              <w:numPr>
                <w:ilvl w:val="0"/>
                <w:numId w:val="2"/>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内容不完整</w:t>
            </w:r>
            <w:r>
              <w:rPr>
                <w:rFonts w:hint="eastAsia" w:hAnsi="宋体" w:cs="宋体"/>
                <w:bCs/>
                <w:color w:val="auto"/>
                <w:sz w:val="24"/>
                <w:highlight w:val="none"/>
                <w:lang w:eastAsia="zh-CN"/>
              </w:rPr>
              <w:t>，</w:t>
            </w:r>
            <w:r>
              <w:rPr>
                <w:rFonts w:hAnsi="宋体" w:cs="宋体"/>
                <w:bCs/>
                <w:color w:val="auto"/>
                <w:sz w:val="24"/>
                <w:highlight w:val="none"/>
              </w:rPr>
              <w:t>对项目需求理解偏差，</w:t>
            </w:r>
            <w:r>
              <w:rPr>
                <w:rFonts w:hint="eastAsia" w:hAnsi="宋体" w:cs="宋体"/>
                <w:bCs/>
                <w:color w:val="auto"/>
                <w:sz w:val="24"/>
                <w:highlight w:val="none"/>
                <w:lang w:val="en-US" w:eastAsia="zh-CN"/>
              </w:rPr>
              <w:t>重点</w:t>
            </w:r>
            <w:r>
              <w:rPr>
                <w:rFonts w:hAnsi="宋体" w:cs="宋体"/>
                <w:bCs/>
                <w:color w:val="auto"/>
                <w:sz w:val="24"/>
                <w:highlight w:val="none"/>
              </w:rPr>
              <w:t>难点分析不合理，代建或协同逻辑模糊，难以保障核心工作统筹的，得</w:t>
            </w:r>
            <w:r>
              <w:rPr>
                <w:rFonts w:hint="eastAsia" w:hAnsi="宋体" w:cs="宋体"/>
                <w:bCs/>
                <w:color w:val="auto"/>
                <w:sz w:val="24"/>
                <w:highlight w:val="none"/>
                <w:lang w:val="en-US" w:eastAsia="zh-CN"/>
              </w:rPr>
              <w:t>1</w:t>
            </w:r>
            <w:r>
              <w:rPr>
                <w:rFonts w:hAnsi="宋体" w:cs="宋体"/>
                <w:bCs/>
                <w:color w:val="auto"/>
                <w:sz w:val="24"/>
                <w:highlight w:val="none"/>
              </w:rPr>
              <w:t>分；</w:t>
            </w:r>
          </w:p>
          <w:p w14:paraId="18031F62">
            <w:pPr>
              <w:pStyle w:val="6"/>
              <w:numPr>
                <w:ilvl w:val="0"/>
                <w:numId w:val="2"/>
              </w:numPr>
              <w:adjustRightInd w:val="0"/>
              <w:snapToGrid w:val="0"/>
              <w:spacing w:line="360" w:lineRule="exact"/>
              <w:rPr>
                <w:rFonts w:hAnsi="宋体" w:cs="宋体"/>
                <w:bCs/>
                <w:color w:val="auto"/>
                <w:sz w:val="24"/>
                <w:highlight w:val="none"/>
              </w:rPr>
            </w:pPr>
            <w:r>
              <w:rPr>
                <w:rFonts w:hAnsi="宋体" w:cs="宋体"/>
                <w:bCs/>
                <w:color w:val="auto"/>
                <w:sz w:val="24"/>
                <w:highlight w:val="none"/>
              </w:rPr>
              <w:t>不符合要求或仅为条款式、无实际内容或未提供的，得0分。</w:t>
            </w:r>
          </w:p>
        </w:tc>
        <w:tc>
          <w:tcPr>
            <w:tcW w:w="700" w:type="dxa"/>
            <w:vAlign w:val="center"/>
          </w:tcPr>
          <w:p w14:paraId="65F38D88">
            <w:pPr>
              <w:widowControl/>
              <w:rPr>
                <w:rFonts w:ascii="宋体" w:cs="宋体"/>
                <w:color w:val="auto"/>
                <w:kern w:val="0"/>
                <w:sz w:val="24"/>
                <w:highlight w:val="none"/>
              </w:rPr>
            </w:pPr>
            <w:r>
              <w:rPr>
                <w:rFonts w:hint="eastAsia" w:ascii="宋体" w:hAnsi="宋体" w:cs="宋体"/>
                <w:color w:val="auto"/>
                <w:kern w:val="0"/>
                <w:sz w:val="24"/>
                <w:highlight w:val="none"/>
                <w:lang w:val="en-US" w:eastAsia="zh-CN"/>
              </w:rPr>
              <w:t>10</w:t>
            </w:r>
            <w:r>
              <w:rPr>
                <w:rFonts w:hint="eastAsia" w:ascii="宋体" w:hAnsi="宋体" w:cs="宋体"/>
                <w:color w:val="auto"/>
                <w:kern w:val="0"/>
                <w:sz w:val="24"/>
                <w:highlight w:val="none"/>
              </w:rPr>
              <w:t>分</w:t>
            </w:r>
          </w:p>
        </w:tc>
      </w:tr>
      <w:tr w14:paraId="077F66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10" w:hRule="atLeast"/>
          <w:jc w:val="center"/>
        </w:trPr>
        <w:tc>
          <w:tcPr>
            <w:tcW w:w="701" w:type="dxa"/>
            <w:vMerge w:val="continue"/>
            <w:vAlign w:val="center"/>
          </w:tcPr>
          <w:p w14:paraId="2751BE69">
            <w:pPr>
              <w:widowControl/>
              <w:jc w:val="center"/>
              <w:rPr>
                <w:rFonts w:ascii="宋体" w:cs="宋体"/>
                <w:color w:val="auto"/>
                <w:kern w:val="0"/>
                <w:sz w:val="24"/>
                <w:highlight w:val="none"/>
              </w:rPr>
            </w:pPr>
          </w:p>
        </w:tc>
        <w:tc>
          <w:tcPr>
            <w:tcW w:w="1072" w:type="dxa"/>
            <w:vAlign w:val="center"/>
          </w:tcPr>
          <w:p w14:paraId="0B188717">
            <w:pPr>
              <w:widowControl/>
              <w:jc w:val="center"/>
              <w:rPr>
                <w:rFonts w:hAnsi="宋体" w:cs="宋体"/>
                <w:b/>
                <w:bCs/>
                <w:color w:val="auto"/>
                <w:sz w:val="24"/>
                <w:highlight w:val="none"/>
              </w:rPr>
            </w:pPr>
            <w:r>
              <w:rPr>
                <w:sz w:val="24"/>
                <w:highlight w:val="none"/>
              </w:rPr>
              <w:t>对</w:t>
            </w:r>
            <w:r>
              <w:rPr>
                <w:rFonts w:hint="eastAsia"/>
                <w:sz w:val="24"/>
                <w:highlight w:val="none"/>
                <w:lang w:val="en-US" w:eastAsia="zh-CN"/>
              </w:rPr>
              <w:t>横琴粤澳深度合作区（下称“合作区”）</w:t>
            </w:r>
            <w:r>
              <w:rPr>
                <w:sz w:val="24"/>
                <w:highlight w:val="none"/>
              </w:rPr>
              <w:t>建设项目的行政</w:t>
            </w:r>
            <w:r>
              <w:rPr>
                <w:rFonts w:ascii="Times New Roman" w:hAnsi="Times New Roman" w:cs="Times New Roman"/>
                <w:sz w:val="24"/>
                <w:highlight w:val="none"/>
              </w:rPr>
              <w:t>审批和监管流程的</w:t>
            </w:r>
            <w:r>
              <w:rPr>
                <w:sz w:val="24"/>
                <w:highlight w:val="none"/>
              </w:rPr>
              <w:t>了解</w:t>
            </w:r>
          </w:p>
        </w:tc>
        <w:tc>
          <w:tcPr>
            <w:tcW w:w="6598" w:type="dxa"/>
            <w:vAlign w:val="center"/>
          </w:tcPr>
          <w:p w14:paraId="4CFF1BF9">
            <w:pPr>
              <w:pStyle w:val="6"/>
              <w:numPr>
                <w:ilvl w:val="-1"/>
                <w:numId w:val="0"/>
              </w:numPr>
              <w:adjustRightInd w:val="0"/>
              <w:snapToGrid w:val="0"/>
              <w:spacing w:line="360" w:lineRule="exact"/>
              <w:rPr>
                <w:rFonts w:hAnsi="宋体" w:cs="宋体"/>
                <w:bCs/>
                <w:color w:val="auto"/>
                <w:sz w:val="24"/>
                <w:highlight w:val="none"/>
              </w:rPr>
            </w:pPr>
            <w:r>
              <w:rPr>
                <w:rFonts w:hAnsi="宋体" w:cs="宋体"/>
                <w:bCs/>
                <w:color w:val="auto"/>
                <w:sz w:val="24"/>
                <w:highlight w:val="none"/>
              </w:rPr>
              <w:t>根据本项目报建报批及监管要求，编制对合作区相关流程的了解方案，核心内容应包括但不限于各类审批流程（施工图审查、施工许可等）、工程变更审批权限及流程、竣工备案核心要求、资金支付监管规则：</w:t>
            </w:r>
          </w:p>
          <w:p w14:paraId="4DF2AD52">
            <w:pPr>
              <w:pStyle w:val="6"/>
              <w:numPr>
                <w:ilvl w:val="0"/>
                <w:numId w:val="3"/>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内容详细完整</w:t>
            </w:r>
            <w:r>
              <w:rPr>
                <w:rFonts w:hint="eastAsia" w:hAnsi="宋体" w:cs="宋体"/>
                <w:bCs/>
                <w:color w:val="auto"/>
                <w:sz w:val="24"/>
                <w:highlight w:val="none"/>
                <w:lang w:eastAsia="zh-CN"/>
              </w:rPr>
              <w:t>，</w:t>
            </w:r>
            <w:r>
              <w:rPr>
                <w:rFonts w:hAnsi="宋体" w:cs="宋体"/>
                <w:bCs/>
                <w:color w:val="auto"/>
                <w:sz w:val="24"/>
                <w:highlight w:val="none"/>
              </w:rPr>
              <w:t>对流程理解透彻准确，逻辑清晰，能确保合规办理各项审批的，得</w:t>
            </w:r>
            <w:r>
              <w:rPr>
                <w:rFonts w:hint="eastAsia" w:hAnsi="宋体" w:cs="宋体"/>
                <w:bCs/>
                <w:color w:val="auto"/>
                <w:sz w:val="24"/>
                <w:highlight w:val="none"/>
                <w:lang w:val="en-US" w:eastAsia="zh-CN"/>
              </w:rPr>
              <w:t>5</w:t>
            </w:r>
            <w:r>
              <w:rPr>
                <w:rFonts w:hAnsi="宋体" w:cs="宋体"/>
                <w:bCs/>
                <w:color w:val="auto"/>
                <w:sz w:val="24"/>
                <w:highlight w:val="none"/>
              </w:rPr>
              <w:t>分；</w:t>
            </w:r>
          </w:p>
          <w:p w14:paraId="59F03C51">
            <w:pPr>
              <w:pStyle w:val="6"/>
              <w:numPr>
                <w:ilvl w:val="0"/>
                <w:numId w:val="3"/>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内容较完整</w:t>
            </w:r>
            <w:r>
              <w:rPr>
                <w:rFonts w:hint="eastAsia" w:hAnsi="宋体" w:cs="宋体"/>
                <w:bCs/>
                <w:color w:val="auto"/>
                <w:sz w:val="24"/>
                <w:highlight w:val="none"/>
                <w:lang w:eastAsia="zh-CN"/>
              </w:rPr>
              <w:t>，</w:t>
            </w:r>
            <w:r>
              <w:rPr>
                <w:rFonts w:hAnsi="宋体" w:cs="宋体"/>
                <w:bCs/>
                <w:color w:val="auto"/>
                <w:sz w:val="24"/>
                <w:highlight w:val="none"/>
              </w:rPr>
              <w:t>对流程理解较透彻准确，逻辑较清晰，能保障核心审批合规办理的，得</w:t>
            </w:r>
            <w:r>
              <w:rPr>
                <w:rFonts w:hint="eastAsia" w:hAnsi="宋体" w:cs="宋体"/>
                <w:bCs/>
                <w:color w:val="auto"/>
                <w:sz w:val="24"/>
                <w:highlight w:val="none"/>
                <w:lang w:val="en-US" w:eastAsia="zh-CN"/>
              </w:rPr>
              <w:t>3</w:t>
            </w:r>
            <w:r>
              <w:rPr>
                <w:rFonts w:hAnsi="宋体" w:cs="宋体"/>
                <w:bCs/>
                <w:color w:val="auto"/>
                <w:sz w:val="24"/>
                <w:highlight w:val="none"/>
              </w:rPr>
              <w:t>分；</w:t>
            </w:r>
          </w:p>
          <w:p w14:paraId="00B3E5C7">
            <w:pPr>
              <w:pStyle w:val="6"/>
              <w:numPr>
                <w:ilvl w:val="0"/>
                <w:numId w:val="3"/>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内容基本完整</w:t>
            </w:r>
            <w:r>
              <w:rPr>
                <w:rFonts w:hint="eastAsia" w:hAnsi="宋体" w:cs="宋体"/>
                <w:bCs/>
                <w:color w:val="auto"/>
                <w:sz w:val="24"/>
                <w:highlight w:val="none"/>
                <w:lang w:eastAsia="zh-CN"/>
              </w:rPr>
              <w:t>，</w:t>
            </w:r>
            <w:r>
              <w:rPr>
                <w:rFonts w:hAnsi="宋体" w:cs="宋体"/>
                <w:bCs/>
                <w:color w:val="auto"/>
                <w:sz w:val="24"/>
                <w:highlight w:val="none"/>
              </w:rPr>
              <w:t>对流程基本理解，逻辑基本清晰，基本能保障核心审批合规办理的，得</w:t>
            </w:r>
            <w:r>
              <w:rPr>
                <w:rFonts w:hint="eastAsia" w:hAnsi="宋体" w:cs="宋体"/>
                <w:bCs/>
                <w:color w:val="auto"/>
                <w:sz w:val="24"/>
                <w:highlight w:val="none"/>
                <w:lang w:val="en-US" w:eastAsia="zh-CN"/>
              </w:rPr>
              <w:t>2</w:t>
            </w:r>
            <w:r>
              <w:rPr>
                <w:rFonts w:hAnsi="宋体" w:cs="宋体"/>
                <w:bCs/>
                <w:color w:val="auto"/>
                <w:sz w:val="24"/>
                <w:highlight w:val="none"/>
              </w:rPr>
              <w:t>分；</w:t>
            </w:r>
          </w:p>
          <w:p w14:paraId="58A53A5C">
            <w:pPr>
              <w:pStyle w:val="6"/>
              <w:numPr>
                <w:ilvl w:val="0"/>
                <w:numId w:val="3"/>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内容不完整</w:t>
            </w:r>
            <w:r>
              <w:rPr>
                <w:rFonts w:hint="eastAsia" w:hAnsi="宋体" w:cs="宋体"/>
                <w:bCs/>
                <w:color w:val="auto"/>
                <w:sz w:val="24"/>
                <w:highlight w:val="none"/>
                <w:lang w:eastAsia="zh-CN"/>
              </w:rPr>
              <w:t>，</w:t>
            </w:r>
            <w:r>
              <w:rPr>
                <w:rFonts w:hAnsi="宋体" w:cs="宋体"/>
                <w:bCs/>
                <w:color w:val="auto"/>
                <w:sz w:val="24"/>
                <w:highlight w:val="none"/>
              </w:rPr>
              <w:t>对流程理解片面，逻辑混乱，难以保障核心审批合规办理的，得1分；</w:t>
            </w:r>
          </w:p>
          <w:p w14:paraId="2323A327">
            <w:pPr>
              <w:pStyle w:val="6"/>
              <w:numPr>
                <w:ilvl w:val="0"/>
                <w:numId w:val="3"/>
              </w:numPr>
              <w:adjustRightInd w:val="0"/>
              <w:snapToGrid w:val="0"/>
              <w:spacing w:line="360" w:lineRule="exact"/>
              <w:rPr>
                <w:rFonts w:hAnsi="宋体" w:cs="宋体"/>
                <w:bCs/>
                <w:color w:val="auto"/>
                <w:sz w:val="24"/>
                <w:highlight w:val="none"/>
              </w:rPr>
            </w:pPr>
            <w:r>
              <w:rPr>
                <w:rFonts w:hAnsi="宋体" w:cs="宋体"/>
                <w:bCs/>
                <w:color w:val="auto"/>
                <w:sz w:val="24"/>
                <w:highlight w:val="none"/>
              </w:rPr>
              <w:t>不符合要求或仅为条款式、无实际内容或未提供的，得0分。</w:t>
            </w:r>
          </w:p>
        </w:tc>
        <w:tc>
          <w:tcPr>
            <w:tcW w:w="700" w:type="dxa"/>
            <w:vAlign w:val="center"/>
          </w:tcPr>
          <w:p w14:paraId="51663222">
            <w:pPr>
              <w:widowControl/>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分</w:t>
            </w:r>
          </w:p>
        </w:tc>
      </w:tr>
      <w:tr w14:paraId="1325B1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10" w:hRule="atLeast"/>
          <w:jc w:val="center"/>
        </w:trPr>
        <w:tc>
          <w:tcPr>
            <w:tcW w:w="701" w:type="dxa"/>
            <w:vMerge w:val="continue"/>
            <w:vAlign w:val="center"/>
          </w:tcPr>
          <w:p w14:paraId="3CE7CFAC">
            <w:pPr>
              <w:widowControl/>
              <w:jc w:val="center"/>
              <w:rPr>
                <w:rFonts w:ascii="宋体" w:cs="宋体"/>
                <w:color w:val="auto"/>
                <w:kern w:val="0"/>
                <w:sz w:val="24"/>
                <w:highlight w:val="none"/>
              </w:rPr>
            </w:pPr>
          </w:p>
        </w:tc>
        <w:tc>
          <w:tcPr>
            <w:tcW w:w="1072" w:type="dxa"/>
            <w:vAlign w:val="center"/>
          </w:tcPr>
          <w:p w14:paraId="6AA3514D">
            <w:pPr>
              <w:widowControl/>
              <w:jc w:val="center"/>
              <w:rPr>
                <w:rFonts w:hint="default" w:ascii="Times New Roman" w:hAnsi="Times New Roman" w:eastAsia="宋体" w:cs="Times New Roman"/>
                <w:sz w:val="24"/>
                <w:highlight w:val="none"/>
                <w:lang w:val="en-US" w:eastAsia="zh-CN"/>
              </w:rPr>
            </w:pPr>
            <w:r>
              <w:rPr>
                <w:rFonts w:hint="eastAsia" w:cs="Times New Roman"/>
                <w:sz w:val="24"/>
                <w:highlight w:val="none"/>
                <w:lang w:val="en-US" w:eastAsia="zh-CN"/>
              </w:rPr>
              <w:t>对促进粤澳融合的理解</w:t>
            </w:r>
          </w:p>
        </w:tc>
        <w:tc>
          <w:tcPr>
            <w:tcW w:w="6598" w:type="dxa"/>
            <w:vAlign w:val="center"/>
          </w:tcPr>
          <w:p w14:paraId="1ED82A50">
            <w:pPr>
              <w:keepNext w:val="0"/>
              <w:keepLines w:val="0"/>
              <w:widowControl/>
              <w:suppressLineNumbers w:val="0"/>
              <w:jc w:val="left"/>
              <w:rPr>
                <w:highlight w:val="none"/>
              </w:rPr>
            </w:pPr>
            <w:r>
              <w:rPr>
                <w:rFonts w:ascii="宋体" w:hAnsi="宋体" w:eastAsia="宋体" w:cs="宋体"/>
                <w:kern w:val="0"/>
                <w:sz w:val="24"/>
                <w:szCs w:val="24"/>
                <w:highlight w:val="none"/>
                <w:lang w:val="en-US" w:eastAsia="zh-CN" w:bidi="ar"/>
              </w:rPr>
              <w:t>根据横琴粤澳深度合作区区位属性</w:t>
            </w:r>
            <w:r>
              <w:rPr>
                <w:rFonts w:hint="eastAsia" w:ascii="宋体" w:hAnsi="宋体" w:cs="宋体"/>
                <w:kern w:val="0"/>
                <w:sz w:val="24"/>
                <w:szCs w:val="24"/>
                <w:highlight w:val="none"/>
                <w:lang w:val="en-US" w:eastAsia="zh-CN" w:bidi="ar"/>
              </w:rPr>
              <w:t>，</w:t>
            </w:r>
            <w:r>
              <w:rPr>
                <w:rFonts w:hint="eastAsia" w:ascii="宋体" w:hAnsi="宋体" w:cs="宋体"/>
                <w:kern w:val="0"/>
                <w:sz w:val="24"/>
                <w:highlight w:val="none"/>
                <w:lang w:bidi="ar"/>
              </w:rPr>
              <w:t>落实《横琴粤澳深度合作区建设总体方案》《横琴粤澳深度合作区总体发展规划》要求，围绕粤澳深度融合、琴澳一体化发展目标，</w:t>
            </w:r>
            <w:r>
              <w:rPr>
                <w:rFonts w:ascii="宋体" w:hAnsi="宋体" w:eastAsia="宋体" w:cs="宋体"/>
                <w:kern w:val="0"/>
                <w:sz w:val="24"/>
                <w:szCs w:val="24"/>
                <w:highlight w:val="none"/>
                <w:lang w:val="en-US" w:eastAsia="zh-CN" w:bidi="ar"/>
              </w:rPr>
              <w:t>编制对促进</w:t>
            </w:r>
            <w:r>
              <w:rPr>
                <w:rFonts w:hint="eastAsia" w:ascii="宋体" w:hAnsi="宋体" w:cs="宋体"/>
                <w:kern w:val="0"/>
                <w:sz w:val="24"/>
                <w:szCs w:val="24"/>
                <w:highlight w:val="none"/>
                <w:lang w:val="en-US" w:eastAsia="zh-CN" w:bidi="ar"/>
              </w:rPr>
              <w:t>粤</w:t>
            </w:r>
            <w:r>
              <w:rPr>
                <w:rFonts w:ascii="宋体" w:hAnsi="宋体" w:eastAsia="宋体" w:cs="宋体"/>
                <w:kern w:val="0"/>
                <w:sz w:val="24"/>
                <w:szCs w:val="24"/>
                <w:highlight w:val="none"/>
                <w:lang w:val="en-US" w:eastAsia="zh-CN" w:bidi="ar"/>
              </w:rPr>
              <w:t>澳融合的理解方案，核心内容应包括但不限于</w:t>
            </w:r>
            <w:r>
              <w:rPr>
                <w:rFonts w:hint="eastAsia" w:ascii="宋体" w:hAnsi="宋体" w:cs="宋体"/>
                <w:kern w:val="0"/>
                <w:sz w:val="24"/>
                <w:szCs w:val="24"/>
                <w:highlight w:val="none"/>
                <w:lang w:val="en-US" w:eastAsia="zh-CN" w:bidi="ar"/>
              </w:rPr>
              <w:t>粤</w:t>
            </w:r>
            <w:r>
              <w:rPr>
                <w:rFonts w:ascii="宋体" w:hAnsi="宋体" w:eastAsia="宋体" w:cs="宋体"/>
                <w:kern w:val="0"/>
                <w:sz w:val="24"/>
                <w:szCs w:val="24"/>
                <w:highlight w:val="none"/>
                <w:lang w:val="en-US" w:eastAsia="zh-CN" w:bidi="ar"/>
              </w:rPr>
              <w:t>澳融合政策认知、</w:t>
            </w:r>
            <w:r>
              <w:rPr>
                <w:rFonts w:hint="eastAsia" w:ascii="宋体" w:hAnsi="宋体" w:cs="宋体"/>
                <w:kern w:val="0"/>
                <w:sz w:val="24"/>
                <w:szCs w:val="24"/>
                <w:highlight w:val="none"/>
                <w:lang w:val="en-US" w:eastAsia="zh-CN" w:bidi="ar"/>
              </w:rPr>
              <w:t>粤</w:t>
            </w:r>
            <w:r>
              <w:rPr>
                <w:rFonts w:ascii="宋体" w:hAnsi="宋体" w:eastAsia="宋体" w:cs="宋体"/>
                <w:kern w:val="0"/>
                <w:sz w:val="24"/>
                <w:szCs w:val="24"/>
                <w:highlight w:val="none"/>
                <w:lang w:val="en-US" w:eastAsia="zh-CN" w:bidi="ar"/>
              </w:rPr>
              <w:t>澳人才与行业要素协同</w:t>
            </w:r>
            <w:r>
              <w:rPr>
                <w:rFonts w:hint="eastAsia" w:ascii="宋体" w:hAnsi="宋体" w:eastAsia="宋体" w:cs="宋体"/>
                <w:kern w:val="0"/>
                <w:sz w:val="24"/>
                <w:szCs w:val="24"/>
                <w:highlight w:val="none"/>
                <w:lang w:val="en-US" w:eastAsia="zh-CN" w:bidi="ar"/>
              </w:rPr>
              <w:t>、</w:t>
            </w:r>
            <w:r>
              <w:rPr>
                <w:rFonts w:ascii="宋体" w:hAnsi="宋体" w:eastAsia="宋体" w:cs="宋体"/>
                <w:kern w:val="0"/>
                <w:sz w:val="24"/>
                <w:szCs w:val="24"/>
                <w:highlight w:val="none"/>
                <w:lang w:val="en-US" w:eastAsia="zh-CN" w:bidi="ar"/>
              </w:rPr>
              <w:t>项目赋能</w:t>
            </w:r>
            <w:r>
              <w:rPr>
                <w:rFonts w:hint="eastAsia" w:ascii="宋体" w:hAnsi="宋体" w:cs="宋体"/>
                <w:kern w:val="0"/>
                <w:sz w:val="24"/>
                <w:szCs w:val="24"/>
                <w:highlight w:val="none"/>
                <w:lang w:val="en-US" w:eastAsia="zh-CN" w:bidi="ar"/>
              </w:rPr>
              <w:t>粤澳</w:t>
            </w:r>
            <w:r>
              <w:rPr>
                <w:rFonts w:ascii="宋体" w:hAnsi="宋体" w:eastAsia="宋体" w:cs="宋体"/>
                <w:kern w:val="0"/>
                <w:sz w:val="24"/>
                <w:szCs w:val="24"/>
                <w:highlight w:val="none"/>
                <w:lang w:val="en-US" w:eastAsia="zh-CN" w:bidi="ar"/>
              </w:rPr>
              <w:t>融合发展举措等：</w:t>
            </w:r>
          </w:p>
          <w:p w14:paraId="5697A30B">
            <w:pPr>
              <w:keepNext w:val="0"/>
              <w:keepLines w:val="0"/>
              <w:widowControl/>
              <w:suppressLineNumbers w:val="0"/>
              <w:jc w:val="left"/>
              <w:rPr>
                <w:highlight w:val="none"/>
              </w:rPr>
            </w:pPr>
            <w:r>
              <w:rPr>
                <w:rFonts w:ascii="宋体" w:hAnsi="宋体" w:eastAsia="宋体" w:cs="宋体"/>
                <w:kern w:val="0"/>
                <w:sz w:val="24"/>
                <w:szCs w:val="24"/>
                <w:highlight w:val="none"/>
                <w:lang w:val="en-US" w:eastAsia="zh-CN" w:bidi="ar"/>
              </w:rPr>
              <w:t>1.内容详细完整</w:t>
            </w:r>
            <w:r>
              <w:rPr>
                <w:rFonts w:hint="eastAsia" w:ascii="宋体" w:hAnsi="宋体" w:cs="宋体"/>
                <w:kern w:val="0"/>
                <w:sz w:val="24"/>
                <w:szCs w:val="24"/>
                <w:highlight w:val="none"/>
                <w:lang w:val="en-US" w:eastAsia="zh-CN" w:bidi="ar"/>
              </w:rPr>
              <w:t>，</w:t>
            </w:r>
            <w:r>
              <w:rPr>
                <w:rFonts w:ascii="宋体" w:hAnsi="宋体" w:eastAsia="宋体" w:cs="宋体"/>
                <w:kern w:val="0"/>
                <w:sz w:val="24"/>
                <w:szCs w:val="24"/>
                <w:highlight w:val="none"/>
                <w:lang w:val="en-US" w:eastAsia="zh-CN" w:bidi="ar"/>
              </w:rPr>
              <w:t>对</w:t>
            </w:r>
            <w:r>
              <w:rPr>
                <w:rFonts w:hint="eastAsia" w:ascii="宋体" w:hAnsi="宋体" w:cs="宋体"/>
                <w:kern w:val="0"/>
                <w:sz w:val="24"/>
                <w:szCs w:val="24"/>
                <w:highlight w:val="none"/>
                <w:lang w:val="en-US" w:eastAsia="zh-CN" w:bidi="ar"/>
              </w:rPr>
              <w:t>粤澳</w:t>
            </w:r>
            <w:r>
              <w:rPr>
                <w:rFonts w:ascii="宋体" w:hAnsi="宋体" w:eastAsia="宋体" w:cs="宋体"/>
                <w:kern w:val="0"/>
                <w:sz w:val="24"/>
                <w:szCs w:val="24"/>
                <w:highlight w:val="none"/>
                <w:lang w:val="en-US" w:eastAsia="zh-CN" w:bidi="ar"/>
              </w:rPr>
              <w:t>融合</w:t>
            </w:r>
            <w:r>
              <w:rPr>
                <w:rFonts w:hint="eastAsia" w:ascii="宋体" w:hAnsi="宋体" w:eastAsia="宋体" w:cs="宋体"/>
                <w:kern w:val="0"/>
                <w:sz w:val="24"/>
                <w:szCs w:val="24"/>
                <w:highlight w:val="none"/>
                <w:lang w:val="en-US" w:eastAsia="zh-CN" w:bidi="ar"/>
              </w:rPr>
              <w:t>政策</w:t>
            </w:r>
            <w:r>
              <w:rPr>
                <w:rFonts w:ascii="宋体" w:hAnsi="宋体" w:eastAsia="宋体" w:cs="宋体"/>
                <w:kern w:val="0"/>
                <w:sz w:val="24"/>
                <w:szCs w:val="24"/>
                <w:highlight w:val="none"/>
                <w:lang w:val="en-US" w:eastAsia="zh-CN" w:bidi="ar"/>
              </w:rPr>
              <w:t>认知</w:t>
            </w:r>
            <w:r>
              <w:rPr>
                <w:rFonts w:hint="eastAsia" w:ascii="宋体" w:hAnsi="宋体" w:eastAsia="宋体" w:cs="宋体"/>
                <w:kern w:val="0"/>
                <w:sz w:val="24"/>
                <w:szCs w:val="24"/>
                <w:highlight w:val="none"/>
                <w:lang w:val="en-US" w:eastAsia="zh-CN" w:bidi="ar"/>
              </w:rPr>
              <w:t>准确</w:t>
            </w:r>
            <w:r>
              <w:rPr>
                <w:rFonts w:ascii="宋体" w:hAnsi="宋体" w:eastAsia="宋体" w:cs="宋体"/>
                <w:kern w:val="0"/>
                <w:sz w:val="24"/>
                <w:szCs w:val="24"/>
                <w:highlight w:val="none"/>
                <w:lang w:val="en-US" w:eastAsia="zh-CN" w:bidi="ar"/>
              </w:rPr>
              <w:t>，</w:t>
            </w:r>
            <w:r>
              <w:rPr>
                <w:rFonts w:hint="eastAsia" w:ascii="宋体" w:hAnsi="宋体" w:eastAsia="宋体" w:cs="宋体"/>
                <w:kern w:val="0"/>
                <w:sz w:val="24"/>
                <w:szCs w:val="24"/>
                <w:highlight w:val="none"/>
                <w:lang w:val="en-US" w:eastAsia="zh-CN" w:bidi="ar"/>
              </w:rPr>
              <w:t>要素协同分析科学</w:t>
            </w:r>
            <w:r>
              <w:rPr>
                <w:rFonts w:hint="eastAsia" w:ascii="宋体" w:hAnsi="宋体" w:cs="宋体"/>
                <w:kern w:val="0"/>
                <w:sz w:val="24"/>
                <w:szCs w:val="24"/>
                <w:highlight w:val="none"/>
                <w:lang w:val="en-US" w:eastAsia="zh-CN" w:bidi="ar"/>
              </w:rPr>
              <w:t>合理</w:t>
            </w:r>
            <w:r>
              <w:rPr>
                <w:rFonts w:hint="eastAsia" w:ascii="宋体" w:hAnsi="宋体" w:eastAsia="宋体" w:cs="宋体"/>
                <w:kern w:val="0"/>
                <w:sz w:val="24"/>
                <w:szCs w:val="24"/>
                <w:highlight w:val="none"/>
                <w:lang w:val="en-US" w:eastAsia="zh-CN" w:bidi="ar"/>
              </w:rPr>
              <w:t>，</w:t>
            </w:r>
            <w:r>
              <w:rPr>
                <w:rFonts w:ascii="宋体" w:hAnsi="宋体" w:eastAsia="宋体" w:cs="宋体"/>
                <w:kern w:val="0"/>
                <w:sz w:val="24"/>
                <w:szCs w:val="24"/>
                <w:highlight w:val="none"/>
                <w:lang w:val="en-US" w:eastAsia="zh-CN" w:bidi="ar"/>
              </w:rPr>
              <w:t>融合举措科学可行，落地实施逻辑清晰，得</w:t>
            </w:r>
            <w:r>
              <w:rPr>
                <w:rFonts w:hint="eastAsia" w:ascii="宋体" w:hAnsi="宋体" w:cs="宋体"/>
                <w:kern w:val="0"/>
                <w:sz w:val="24"/>
                <w:szCs w:val="24"/>
                <w:highlight w:val="none"/>
                <w:lang w:val="en-US" w:eastAsia="zh-CN" w:bidi="ar"/>
              </w:rPr>
              <w:t>10</w:t>
            </w:r>
            <w:r>
              <w:rPr>
                <w:rFonts w:ascii="宋体" w:hAnsi="宋体" w:eastAsia="宋体" w:cs="宋体"/>
                <w:kern w:val="0"/>
                <w:sz w:val="24"/>
                <w:szCs w:val="24"/>
                <w:highlight w:val="none"/>
                <w:lang w:val="en-US" w:eastAsia="zh-CN" w:bidi="ar"/>
              </w:rPr>
              <w:t>分；</w:t>
            </w:r>
          </w:p>
          <w:p w14:paraId="7121035F">
            <w:pPr>
              <w:keepNext w:val="0"/>
              <w:keepLines w:val="0"/>
              <w:widowControl/>
              <w:suppressLineNumbers w:val="0"/>
              <w:jc w:val="left"/>
              <w:rPr>
                <w:highlight w:val="none"/>
              </w:rPr>
            </w:pPr>
            <w:r>
              <w:rPr>
                <w:rFonts w:ascii="宋体" w:hAnsi="宋体" w:eastAsia="宋体" w:cs="宋体"/>
                <w:kern w:val="0"/>
                <w:sz w:val="24"/>
                <w:szCs w:val="24"/>
                <w:highlight w:val="none"/>
                <w:lang w:val="en-US" w:eastAsia="zh-CN" w:bidi="ar"/>
              </w:rPr>
              <w:t>2.内容较完整</w:t>
            </w:r>
            <w:r>
              <w:rPr>
                <w:rFonts w:hint="eastAsia" w:ascii="宋体" w:hAnsi="宋体" w:cs="宋体"/>
                <w:kern w:val="0"/>
                <w:sz w:val="24"/>
                <w:szCs w:val="24"/>
                <w:highlight w:val="none"/>
                <w:lang w:val="en-US" w:eastAsia="zh-CN" w:bidi="ar"/>
              </w:rPr>
              <w:t>，</w:t>
            </w:r>
            <w:r>
              <w:rPr>
                <w:rFonts w:ascii="宋体" w:hAnsi="宋体" w:eastAsia="宋体" w:cs="宋体"/>
                <w:kern w:val="0"/>
                <w:sz w:val="24"/>
                <w:szCs w:val="24"/>
                <w:highlight w:val="none"/>
                <w:lang w:val="en-US" w:eastAsia="zh-CN" w:bidi="ar"/>
              </w:rPr>
              <w:t>对</w:t>
            </w:r>
            <w:r>
              <w:rPr>
                <w:rFonts w:hint="eastAsia" w:ascii="宋体" w:hAnsi="宋体" w:cs="宋体"/>
                <w:kern w:val="0"/>
                <w:sz w:val="24"/>
                <w:szCs w:val="24"/>
                <w:highlight w:val="none"/>
                <w:lang w:val="en-US" w:eastAsia="zh-CN" w:bidi="ar"/>
              </w:rPr>
              <w:t>粤澳</w:t>
            </w:r>
            <w:r>
              <w:rPr>
                <w:rFonts w:ascii="宋体" w:hAnsi="宋体" w:eastAsia="宋体" w:cs="宋体"/>
                <w:kern w:val="0"/>
                <w:sz w:val="24"/>
                <w:szCs w:val="24"/>
                <w:highlight w:val="none"/>
                <w:lang w:val="en-US" w:eastAsia="zh-CN" w:bidi="ar"/>
              </w:rPr>
              <w:t>融合</w:t>
            </w:r>
            <w:r>
              <w:rPr>
                <w:rFonts w:hint="eastAsia" w:ascii="宋体" w:hAnsi="宋体" w:eastAsia="宋体" w:cs="宋体"/>
                <w:kern w:val="0"/>
                <w:sz w:val="24"/>
                <w:szCs w:val="24"/>
                <w:highlight w:val="none"/>
                <w:lang w:val="en-US" w:eastAsia="zh-CN" w:bidi="ar"/>
              </w:rPr>
              <w:t>政策</w:t>
            </w:r>
            <w:r>
              <w:rPr>
                <w:rFonts w:ascii="宋体" w:hAnsi="宋体" w:eastAsia="宋体" w:cs="宋体"/>
                <w:kern w:val="0"/>
                <w:sz w:val="24"/>
                <w:szCs w:val="24"/>
                <w:highlight w:val="none"/>
                <w:lang w:val="en-US" w:eastAsia="zh-CN" w:bidi="ar"/>
              </w:rPr>
              <w:t>认知较准确，</w:t>
            </w:r>
            <w:r>
              <w:rPr>
                <w:rFonts w:hint="eastAsia" w:ascii="宋体" w:hAnsi="宋体" w:eastAsia="宋体" w:cs="宋体"/>
                <w:kern w:val="0"/>
                <w:sz w:val="24"/>
                <w:szCs w:val="24"/>
                <w:highlight w:val="none"/>
                <w:lang w:val="en-US" w:eastAsia="zh-CN" w:bidi="ar"/>
              </w:rPr>
              <w:t>要素协同分析</w:t>
            </w:r>
            <w:r>
              <w:rPr>
                <w:rFonts w:hint="eastAsia" w:ascii="宋体" w:hAnsi="宋体" w:cs="宋体"/>
                <w:kern w:val="0"/>
                <w:sz w:val="24"/>
                <w:szCs w:val="24"/>
                <w:highlight w:val="none"/>
                <w:lang w:val="en-US" w:eastAsia="zh-CN" w:bidi="ar"/>
              </w:rPr>
              <w:t>较科学合理</w:t>
            </w:r>
            <w:r>
              <w:rPr>
                <w:rFonts w:hint="eastAsia" w:ascii="宋体" w:hAnsi="宋体" w:eastAsia="宋体" w:cs="宋体"/>
                <w:kern w:val="0"/>
                <w:sz w:val="24"/>
                <w:szCs w:val="24"/>
                <w:highlight w:val="none"/>
                <w:lang w:val="en-US" w:eastAsia="zh-CN" w:bidi="ar"/>
              </w:rPr>
              <w:t>，</w:t>
            </w:r>
            <w:r>
              <w:rPr>
                <w:rFonts w:ascii="宋体" w:hAnsi="宋体" w:eastAsia="宋体" w:cs="宋体"/>
                <w:kern w:val="0"/>
                <w:sz w:val="24"/>
                <w:szCs w:val="24"/>
                <w:highlight w:val="none"/>
                <w:lang w:val="en-US" w:eastAsia="zh-CN" w:bidi="ar"/>
              </w:rPr>
              <w:t>融合举措</w:t>
            </w:r>
            <w:r>
              <w:rPr>
                <w:rFonts w:hint="eastAsia" w:ascii="宋体" w:hAnsi="宋体" w:cs="宋体"/>
                <w:kern w:val="0"/>
                <w:sz w:val="24"/>
                <w:szCs w:val="24"/>
                <w:highlight w:val="none"/>
                <w:lang w:val="en-US" w:eastAsia="zh-CN" w:bidi="ar"/>
              </w:rPr>
              <w:t>较</w:t>
            </w:r>
            <w:r>
              <w:rPr>
                <w:rFonts w:ascii="宋体" w:hAnsi="宋体" w:eastAsia="宋体" w:cs="宋体"/>
                <w:kern w:val="0"/>
                <w:sz w:val="24"/>
                <w:szCs w:val="24"/>
                <w:highlight w:val="none"/>
                <w:lang w:val="en-US" w:eastAsia="zh-CN" w:bidi="ar"/>
              </w:rPr>
              <w:t>合理，落地实施逻辑较清晰，得</w:t>
            </w:r>
            <w:r>
              <w:rPr>
                <w:rFonts w:hint="eastAsia" w:ascii="宋体" w:hAnsi="宋体" w:cs="宋体"/>
                <w:kern w:val="0"/>
                <w:sz w:val="24"/>
                <w:szCs w:val="24"/>
                <w:highlight w:val="none"/>
                <w:lang w:val="en-US" w:eastAsia="zh-CN" w:bidi="ar"/>
              </w:rPr>
              <w:t>7</w:t>
            </w:r>
            <w:r>
              <w:rPr>
                <w:rFonts w:ascii="宋体" w:hAnsi="宋体" w:eastAsia="宋体" w:cs="宋体"/>
                <w:kern w:val="0"/>
                <w:sz w:val="24"/>
                <w:szCs w:val="24"/>
                <w:highlight w:val="none"/>
                <w:lang w:val="en-US" w:eastAsia="zh-CN" w:bidi="ar"/>
              </w:rPr>
              <w:t>分；</w:t>
            </w:r>
          </w:p>
          <w:p w14:paraId="4761A535">
            <w:pPr>
              <w:keepNext w:val="0"/>
              <w:keepLines w:val="0"/>
              <w:widowControl/>
              <w:suppressLineNumbers w:val="0"/>
              <w:jc w:val="left"/>
              <w:rPr>
                <w:highlight w:val="none"/>
              </w:rPr>
            </w:pPr>
            <w:r>
              <w:rPr>
                <w:rFonts w:ascii="宋体" w:hAnsi="宋体" w:eastAsia="宋体" w:cs="宋体"/>
                <w:kern w:val="0"/>
                <w:sz w:val="24"/>
                <w:szCs w:val="24"/>
                <w:highlight w:val="none"/>
                <w:lang w:val="en-US" w:eastAsia="zh-CN" w:bidi="ar"/>
              </w:rPr>
              <w:t>3.内容基本完整</w:t>
            </w:r>
            <w:r>
              <w:rPr>
                <w:rFonts w:hint="eastAsia" w:ascii="宋体" w:hAnsi="宋体" w:cs="宋体"/>
                <w:kern w:val="0"/>
                <w:sz w:val="24"/>
                <w:szCs w:val="24"/>
                <w:highlight w:val="none"/>
                <w:lang w:val="en-US" w:eastAsia="zh-CN" w:bidi="ar"/>
              </w:rPr>
              <w:t>，</w:t>
            </w:r>
            <w:r>
              <w:rPr>
                <w:rFonts w:ascii="宋体" w:hAnsi="宋体" w:eastAsia="宋体" w:cs="宋体"/>
                <w:kern w:val="0"/>
                <w:sz w:val="24"/>
                <w:szCs w:val="24"/>
                <w:highlight w:val="none"/>
                <w:lang w:val="en-US" w:eastAsia="zh-CN" w:bidi="ar"/>
              </w:rPr>
              <w:t>对</w:t>
            </w:r>
            <w:r>
              <w:rPr>
                <w:rFonts w:hint="eastAsia" w:ascii="宋体" w:hAnsi="宋体" w:cs="宋体"/>
                <w:kern w:val="0"/>
                <w:sz w:val="24"/>
                <w:szCs w:val="24"/>
                <w:highlight w:val="none"/>
                <w:lang w:val="en-US" w:eastAsia="zh-CN" w:bidi="ar"/>
              </w:rPr>
              <w:t>粤澳</w:t>
            </w:r>
            <w:r>
              <w:rPr>
                <w:rFonts w:ascii="宋体" w:hAnsi="宋体" w:eastAsia="宋体" w:cs="宋体"/>
                <w:kern w:val="0"/>
                <w:sz w:val="24"/>
                <w:szCs w:val="24"/>
                <w:highlight w:val="none"/>
                <w:lang w:val="en-US" w:eastAsia="zh-CN" w:bidi="ar"/>
              </w:rPr>
              <w:t>融合</w:t>
            </w:r>
            <w:r>
              <w:rPr>
                <w:rFonts w:hint="eastAsia" w:ascii="宋体" w:hAnsi="宋体" w:eastAsia="宋体" w:cs="宋体"/>
                <w:kern w:val="0"/>
                <w:sz w:val="24"/>
                <w:szCs w:val="24"/>
                <w:highlight w:val="none"/>
                <w:lang w:val="en-US" w:eastAsia="zh-CN" w:bidi="ar"/>
              </w:rPr>
              <w:t>政策</w:t>
            </w:r>
            <w:r>
              <w:rPr>
                <w:rFonts w:ascii="宋体" w:hAnsi="宋体" w:eastAsia="宋体" w:cs="宋体"/>
                <w:kern w:val="0"/>
                <w:sz w:val="24"/>
                <w:szCs w:val="24"/>
                <w:highlight w:val="none"/>
                <w:lang w:val="en-US" w:eastAsia="zh-CN" w:bidi="ar"/>
              </w:rPr>
              <w:t>有基本认知，</w:t>
            </w:r>
            <w:r>
              <w:rPr>
                <w:rFonts w:hint="eastAsia" w:ascii="宋体" w:hAnsi="宋体" w:eastAsia="宋体" w:cs="宋体"/>
                <w:kern w:val="0"/>
                <w:sz w:val="24"/>
                <w:szCs w:val="24"/>
                <w:highlight w:val="none"/>
                <w:lang w:val="en-US" w:eastAsia="zh-CN" w:bidi="ar"/>
              </w:rPr>
              <w:t>要素协同分析合理性一般，</w:t>
            </w:r>
            <w:r>
              <w:rPr>
                <w:rFonts w:ascii="宋体" w:hAnsi="宋体" w:eastAsia="宋体" w:cs="宋体"/>
                <w:kern w:val="0"/>
                <w:sz w:val="24"/>
                <w:szCs w:val="24"/>
                <w:highlight w:val="none"/>
                <w:lang w:val="en-US" w:eastAsia="zh-CN" w:bidi="ar"/>
              </w:rPr>
              <w:t>融合举措合理性一般，落地实施逻辑基本清晰，得</w:t>
            </w:r>
            <w:r>
              <w:rPr>
                <w:rFonts w:hint="eastAsia" w:ascii="宋体" w:hAnsi="宋体" w:cs="宋体"/>
                <w:kern w:val="0"/>
                <w:sz w:val="24"/>
                <w:szCs w:val="24"/>
                <w:highlight w:val="none"/>
                <w:lang w:val="en-US" w:eastAsia="zh-CN" w:bidi="ar"/>
              </w:rPr>
              <w:t>4</w:t>
            </w:r>
            <w:r>
              <w:rPr>
                <w:rFonts w:ascii="宋体" w:hAnsi="宋体" w:eastAsia="宋体" w:cs="宋体"/>
                <w:kern w:val="0"/>
                <w:sz w:val="24"/>
                <w:szCs w:val="24"/>
                <w:highlight w:val="none"/>
                <w:lang w:val="en-US" w:eastAsia="zh-CN" w:bidi="ar"/>
              </w:rPr>
              <w:t>分；</w:t>
            </w:r>
          </w:p>
          <w:p w14:paraId="01422C99">
            <w:pPr>
              <w:keepNext w:val="0"/>
              <w:keepLines w:val="0"/>
              <w:widowControl/>
              <w:suppressLineNumbers w:val="0"/>
              <w:jc w:val="left"/>
              <w:rPr>
                <w:highlight w:val="none"/>
              </w:rPr>
            </w:pPr>
            <w:r>
              <w:rPr>
                <w:rFonts w:ascii="宋体" w:hAnsi="宋体" w:eastAsia="宋体" w:cs="宋体"/>
                <w:kern w:val="0"/>
                <w:sz w:val="24"/>
                <w:szCs w:val="24"/>
                <w:highlight w:val="none"/>
                <w:lang w:val="en-US" w:eastAsia="zh-CN" w:bidi="ar"/>
              </w:rPr>
              <w:t>4.内容不完整</w:t>
            </w:r>
            <w:r>
              <w:rPr>
                <w:rFonts w:hint="eastAsia" w:ascii="宋体" w:hAnsi="宋体" w:cs="宋体"/>
                <w:kern w:val="0"/>
                <w:sz w:val="24"/>
                <w:szCs w:val="24"/>
                <w:highlight w:val="none"/>
                <w:lang w:val="en-US" w:eastAsia="zh-CN" w:bidi="ar"/>
              </w:rPr>
              <w:t>，</w:t>
            </w:r>
            <w:r>
              <w:rPr>
                <w:rFonts w:ascii="宋体" w:hAnsi="宋体" w:eastAsia="宋体" w:cs="宋体"/>
                <w:kern w:val="0"/>
                <w:sz w:val="24"/>
                <w:szCs w:val="24"/>
                <w:highlight w:val="none"/>
                <w:lang w:val="en-US" w:eastAsia="zh-CN" w:bidi="ar"/>
              </w:rPr>
              <w:t>对</w:t>
            </w:r>
            <w:r>
              <w:rPr>
                <w:rFonts w:hint="eastAsia" w:ascii="宋体" w:hAnsi="宋体" w:cs="宋体"/>
                <w:kern w:val="0"/>
                <w:sz w:val="24"/>
                <w:szCs w:val="24"/>
                <w:highlight w:val="none"/>
                <w:lang w:val="en-US" w:eastAsia="zh-CN" w:bidi="ar"/>
              </w:rPr>
              <w:t>粤澳</w:t>
            </w:r>
            <w:r>
              <w:rPr>
                <w:rFonts w:ascii="宋体" w:hAnsi="宋体" w:eastAsia="宋体" w:cs="宋体"/>
                <w:kern w:val="0"/>
                <w:sz w:val="24"/>
                <w:szCs w:val="24"/>
                <w:highlight w:val="none"/>
                <w:lang w:val="en-US" w:eastAsia="zh-CN" w:bidi="ar"/>
              </w:rPr>
              <w:t>融合</w:t>
            </w:r>
            <w:r>
              <w:rPr>
                <w:rFonts w:hint="eastAsia" w:ascii="宋体" w:hAnsi="宋体" w:eastAsia="宋体" w:cs="宋体"/>
                <w:kern w:val="0"/>
                <w:sz w:val="24"/>
                <w:szCs w:val="24"/>
                <w:highlight w:val="none"/>
                <w:lang w:val="en-US" w:eastAsia="zh-CN" w:bidi="ar"/>
              </w:rPr>
              <w:t>政策</w:t>
            </w:r>
            <w:r>
              <w:rPr>
                <w:rFonts w:ascii="宋体" w:hAnsi="宋体" w:eastAsia="宋体" w:cs="宋体"/>
                <w:kern w:val="0"/>
                <w:sz w:val="24"/>
                <w:szCs w:val="24"/>
                <w:highlight w:val="none"/>
                <w:lang w:val="en-US" w:eastAsia="zh-CN" w:bidi="ar"/>
              </w:rPr>
              <w:t>理解偏差，</w:t>
            </w:r>
            <w:r>
              <w:rPr>
                <w:rFonts w:hint="eastAsia" w:ascii="宋体" w:hAnsi="宋体" w:eastAsia="宋体" w:cs="宋体"/>
                <w:kern w:val="0"/>
                <w:sz w:val="24"/>
                <w:szCs w:val="24"/>
                <w:highlight w:val="none"/>
                <w:lang w:val="en-US" w:eastAsia="zh-CN" w:bidi="ar"/>
              </w:rPr>
              <w:t>要素协同分析不合理，</w:t>
            </w:r>
            <w:r>
              <w:rPr>
                <w:rFonts w:ascii="宋体" w:hAnsi="宋体" w:eastAsia="宋体" w:cs="宋体"/>
                <w:kern w:val="0"/>
                <w:sz w:val="24"/>
                <w:szCs w:val="24"/>
                <w:highlight w:val="none"/>
                <w:lang w:val="en-US" w:eastAsia="zh-CN" w:bidi="ar"/>
              </w:rPr>
              <w:t>融合举措不合理，落地实施逻辑模糊，得</w:t>
            </w:r>
            <w:r>
              <w:rPr>
                <w:rFonts w:hint="eastAsia" w:ascii="宋体" w:hAnsi="宋体" w:cs="宋体"/>
                <w:kern w:val="0"/>
                <w:sz w:val="24"/>
                <w:szCs w:val="24"/>
                <w:highlight w:val="none"/>
                <w:lang w:val="en-US" w:eastAsia="zh-CN" w:bidi="ar"/>
              </w:rPr>
              <w:t>1</w:t>
            </w:r>
            <w:r>
              <w:rPr>
                <w:rFonts w:ascii="宋体" w:hAnsi="宋体" w:eastAsia="宋体" w:cs="宋体"/>
                <w:kern w:val="0"/>
                <w:sz w:val="24"/>
                <w:szCs w:val="24"/>
                <w:highlight w:val="none"/>
                <w:lang w:val="en-US" w:eastAsia="zh-CN" w:bidi="ar"/>
              </w:rPr>
              <w:t>分；</w:t>
            </w:r>
          </w:p>
          <w:p w14:paraId="73950DBA">
            <w:pPr>
              <w:widowControl/>
              <w:jc w:val="left"/>
              <w:rPr>
                <w:rFonts w:hint="eastAsia" w:hAnsi="宋体" w:cs="宋体"/>
                <w:bCs/>
                <w:color w:val="auto"/>
                <w:sz w:val="24"/>
                <w:highlight w:val="none"/>
              </w:rPr>
            </w:pPr>
            <w:r>
              <w:rPr>
                <w:rFonts w:hint="eastAsia" w:ascii="宋体" w:hAnsi="宋体" w:eastAsia="宋体" w:cs="宋体"/>
                <w:kern w:val="0"/>
                <w:sz w:val="24"/>
                <w:szCs w:val="24"/>
                <w:highlight w:val="none"/>
                <w:lang w:val="en-US" w:eastAsia="zh-CN" w:bidi="ar"/>
              </w:rPr>
              <w:t>5.</w:t>
            </w:r>
            <w:r>
              <w:rPr>
                <w:rFonts w:ascii="宋体" w:hAnsi="宋体" w:eastAsia="宋体" w:cs="宋体"/>
                <w:kern w:val="0"/>
                <w:sz w:val="24"/>
                <w:szCs w:val="24"/>
                <w:highlight w:val="none"/>
                <w:lang w:val="en-US" w:eastAsia="zh-CN" w:bidi="ar"/>
              </w:rPr>
              <w:t>不符合要求或仅为条款式、无实际内容或未提供的，得0分。</w:t>
            </w:r>
          </w:p>
        </w:tc>
        <w:tc>
          <w:tcPr>
            <w:tcW w:w="700" w:type="dxa"/>
            <w:vAlign w:val="center"/>
          </w:tcPr>
          <w:p w14:paraId="48988A5F">
            <w:pPr>
              <w:widowControl/>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10分</w:t>
            </w:r>
          </w:p>
        </w:tc>
      </w:tr>
      <w:tr w14:paraId="3E4241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10" w:hRule="atLeast"/>
          <w:jc w:val="center"/>
        </w:trPr>
        <w:tc>
          <w:tcPr>
            <w:tcW w:w="701" w:type="dxa"/>
            <w:vMerge w:val="continue"/>
            <w:vAlign w:val="center"/>
          </w:tcPr>
          <w:p w14:paraId="20AA1013">
            <w:pPr>
              <w:widowControl/>
              <w:jc w:val="center"/>
              <w:rPr>
                <w:rFonts w:ascii="宋体" w:cs="宋体"/>
                <w:color w:val="auto"/>
                <w:kern w:val="0"/>
                <w:sz w:val="24"/>
                <w:highlight w:val="none"/>
              </w:rPr>
            </w:pPr>
          </w:p>
        </w:tc>
        <w:tc>
          <w:tcPr>
            <w:tcW w:w="1072" w:type="dxa"/>
            <w:vAlign w:val="center"/>
          </w:tcPr>
          <w:p w14:paraId="1629F302">
            <w:pPr>
              <w:widowControl/>
              <w:jc w:val="center"/>
              <w:rPr>
                <w:sz w:val="24"/>
                <w:highlight w:val="none"/>
              </w:rPr>
            </w:pPr>
            <w:r>
              <w:rPr>
                <w:rFonts w:ascii="Times New Roman" w:hAnsi="Times New Roman" w:cs="Times New Roman"/>
                <w:sz w:val="24"/>
                <w:highlight w:val="none"/>
              </w:rPr>
              <w:t>项目投资控制管理方案和措施</w:t>
            </w:r>
          </w:p>
        </w:tc>
        <w:tc>
          <w:tcPr>
            <w:tcW w:w="6598" w:type="dxa"/>
            <w:vAlign w:val="center"/>
          </w:tcPr>
          <w:p w14:paraId="5578D61F">
            <w:pPr>
              <w:pStyle w:val="6"/>
              <w:numPr>
                <w:ilvl w:val="0"/>
                <w:numId w:val="0"/>
              </w:numPr>
              <w:adjustRightInd w:val="0"/>
              <w:snapToGrid w:val="0"/>
              <w:spacing w:line="360" w:lineRule="exact"/>
              <w:rPr>
                <w:rFonts w:hAnsi="宋体" w:cs="宋体"/>
                <w:bCs/>
                <w:color w:val="auto"/>
                <w:sz w:val="24"/>
                <w:highlight w:val="none"/>
              </w:rPr>
            </w:pPr>
            <w:r>
              <w:rPr>
                <w:rFonts w:hAnsi="宋体" w:cs="宋体"/>
                <w:bCs/>
                <w:color w:val="auto"/>
                <w:sz w:val="24"/>
                <w:highlight w:val="none"/>
              </w:rPr>
              <w:t>根据本项目投资控制目标及《政府投资条例》要求，编制专项管理方案，核心措施应包括但不限于概预算动态跟踪机制、工程变更审核流程、变更限额管控、投资核减率达标措施、超付风险防控等：</w:t>
            </w:r>
          </w:p>
          <w:p w14:paraId="39C0A14F">
            <w:pPr>
              <w:pStyle w:val="6"/>
              <w:numPr>
                <w:ilvl w:val="0"/>
                <w:numId w:val="4"/>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内容详细完整</w:t>
            </w:r>
            <w:r>
              <w:rPr>
                <w:rFonts w:hint="eastAsia" w:hAnsi="宋体" w:cs="宋体"/>
                <w:bCs/>
                <w:color w:val="auto"/>
                <w:sz w:val="24"/>
                <w:highlight w:val="none"/>
                <w:lang w:eastAsia="zh-CN"/>
              </w:rPr>
              <w:t>，</w:t>
            </w:r>
            <w:r>
              <w:rPr>
                <w:rFonts w:hAnsi="宋体" w:cs="宋体"/>
                <w:bCs/>
                <w:color w:val="auto"/>
                <w:sz w:val="24"/>
                <w:highlight w:val="none"/>
              </w:rPr>
              <w:t>措施详细具体，可行性强，能确保总投资可控并符合采购需求规定的</w:t>
            </w:r>
            <w:bookmarkStart w:id="0" w:name="_GoBack"/>
            <w:bookmarkEnd w:id="0"/>
            <w:r>
              <w:rPr>
                <w:rFonts w:hAnsi="宋体" w:cs="宋体"/>
                <w:bCs/>
                <w:color w:val="auto"/>
                <w:sz w:val="24"/>
                <w:highlight w:val="none"/>
              </w:rPr>
              <w:t>，得</w:t>
            </w:r>
            <w:r>
              <w:rPr>
                <w:rFonts w:hint="eastAsia" w:hAnsi="宋体" w:cs="宋体"/>
                <w:bCs/>
                <w:color w:val="auto"/>
                <w:sz w:val="24"/>
                <w:highlight w:val="none"/>
                <w:lang w:val="en-US" w:eastAsia="zh-CN"/>
              </w:rPr>
              <w:t>5</w:t>
            </w:r>
            <w:r>
              <w:rPr>
                <w:rFonts w:hAnsi="宋体" w:cs="宋体"/>
                <w:bCs/>
                <w:color w:val="auto"/>
                <w:sz w:val="24"/>
                <w:highlight w:val="none"/>
              </w:rPr>
              <w:t>分；</w:t>
            </w:r>
          </w:p>
          <w:p w14:paraId="3F5695AC">
            <w:pPr>
              <w:pStyle w:val="6"/>
              <w:numPr>
                <w:ilvl w:val="0"/>
                <w:numId w:val="4"/>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内容较完整</w:t>
            </w:r>
            <w:r>
              <w:rPr>
                <w:rFonts w:hint="eastAsia" w:hAnsi="宋体" w:cs="宋体"/>
                <w:bCs/>
                <w:color w:val="auto"/>
                <w:sz w:val="24"/>
                <w:highlight w:val="none"/>
                <w:lang w:eastAsia="zh-CN"/>
              </w:rPr>
              <w:t>，</w:t>
            </w:r>
            <w:r>
              <w:rPr>
                <w:rFonts w:hAnsi="宋体" w:cs="宋体"/>
                <w:bCs/>
                <w:color w:val="auto"/>
                <w:sz w:val="24"/>
                <w:highlight w:val="none"/>
              </w:rPr>
              <w:t>措施较具体，可行性较强，能保障总投资基本可控并符合采购需求规定的，得</w:t>
            </w:r>
            <w:r>
              <w:rPr>
                <w:rFonts w:hint="eastAsia" w:hAnsi="宋体" w:cs="宋体"/>
                <w:bCs/>
                <w:color w:val="auto"/>
                <w:sz w:val="24"/>
                <w:highlight w:val="none"/>
                <w:lang w:val="en-US" w:eastAsia="zh-CN"/>
              </w:rPr>
              <w:t>3</w:t>
            </w:r>
            <w:r>
              <w:rPr>
                <w:rFonts w:hAnsi="宋体" w:cs="宋体"/>
                <w:bCs/>
                <w:color w:val="auto"/>
                <w:sz w:val="24"/>
                <w:highlight w:val="none"/>
              </w:rPr>
              <w:t>分；</w:t>
            </w:r>
          </w:p>
          <w:p w14:paraId="582F6FCF">
            <w:pPr>
              <w:pStyle w:val="6"/>
              <w:numPr>
                <w:ilvl w:val="0"/>
                <w:numId w:val="4"/>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内容基本完整</w:t>
            </w:r>
            <w:r>
              <w:rPr>
                <w:rFonts w:hint="eastAsia" w:hAnsi="宋体" w:cs="宋体"/>
                <w:bCs/>
                <w:color w:val="auto"/>
                <w:sz w:val="24"/>
                <w:highlight w:val="none"/>
                <w:lang w:eastAsia="zh-CN"/>
              </w:rPr>
              <w:t>，</w:t>
            </w:r>
            <w:r>
              <w:rPr>
                <w:rFonts w:hAnsi="宋体" w:cs="宋体"/>
                <w:bCs/>
                <w:color w:val="auto"/>
                <w:sz w:val="24"/>
                <w:highlight w:val="none"/>
              </w:rPr>
              <w:t>措施基本具体，可行性一般，基本能保障总投资可控并符合采购需求规定的，得</w:t>
            </w:r>
            <w:r>
              <w:rPr>
                <w:rFonts w:hint="eastAsia" w:hAnsi="宋体" w:cs="宋体"/>
                <w:bCs/>
                <w:color w:val="auto"/>
                <w:sz w:val="24"/>
                <w:highlight w:val="none"/>
                <w:lang w:val="en-US" w:eastAsia="zh-CN"/>
              </w:rPr>
              <w:t>2</w:t>
            </w:r>
            <w:r>
              <w:rPr>
                <w:rFonts w:hAnsi="宋体" w:cs="宋体"/>
                <w:bCs/>
                <w:color w:val="auto"/>
                <w:sz w:val="24"/>
                <w:highlight w:val="none"/>
              </w:rPr>
              <w:t>分；</w:t>
            </w:r>
          </w:p>
          <w:p w14:paraId="0EFA71E9">
            <w:pPr>
              <w:pStyle w:val="6"/>
              <w:numPr>
                <w:ilvl w:val="0"/>
                <w:numId w:val="4"/>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内容不完整</w:t>
            </w:r>
            <w:r>
              <w:rPr>
                <w:rFonts w:hint="eastAsia" w:hAnsi="宋体" w:cs="宋体"/>
                <w:bCs/>
                <w:color w:val="auto"/>
                <w:sz w:val="24"/>
                <w:highlight w:val="none"/>
                <w:lang w:eastAsia="zh-CN"/>
              </w:rPr>
              <w:t>，</w:t>
            </w:r>
            <w:r>
              <w:rPr>
                <w:rFonts w:hAnsi="宋体" w:cs="宋体"/>
                <w:bCs/>
                <w:color w:val="auto"/>
                <w:sz w:val="24"/>
                <w:highlight w:val="none"/>
              </w:rPr>
              <w:t>措施简单，可行性不足，难以保障总投资可控及采购需求落实的，得1分；</w:t>
            </w:r>
          </w:p>
          <w:p w14:paraId="7A1BA339">
            <w:pPr>
              <w:pStyle w:val="6"/>
              <w:numPr>
                <w:ilvl w:val="0"/>
                <w:numId w:val="4"/>
              </w:numPr>
              <w:adjustRightInd w:val="0"/>
              <w:snapToGrid w:val="0"/>
              <w:spacing w:line="360" w:lineRule="exact"/>
              <w:rPr>
                <w:rFonts w:hAnsi="宋体" w:cs="宋体"/>
                <w:bCs/>
                <w:color w:val="auto"/>
                <w:sz w:val="24"/>
                <w:highlight w:val="none"/>
              </w:rPr>
            </w:pPr>
            <w:r>
              <w:rPr>
                <w:rFonts w:hAnsi="宋体" w:cs="宋体"/>
                <w:bCs/>
                <w:color w:val="auto"/>
                <w:sz w:val="24"/>
                <w:highlight w:val="none"/>
              </w:rPr>
              <w:t>不符合要求或仅为条款式、无实际内容或未提供的，得0分。</w:t>
            </w:r>
          </w:p>
        </w:tc>
        <w:tc>
          <w:tcPr>
            <w:tcW w:w="700" w:type="dxa"/>
            <w:vAlign w:val="center"/>
          </w:tcPr>
          <w:p w14:paraId="15DCD598">
            <w:pPr>
              <w:widowControl/>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5分</w:t>
            </w:r>
          </w:p>
        </w:tc>
      </w:tr>
      <w:tr w14:paraId="033ECA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10" w:hRule="atLeast"/>
          <w:jc w:val="center"/>
        </w:trPr>
        <w:tc>
          <w:tcPr>
            <w:tcW w:w="701" w:type="dxa"/>
            <w:vMerge w:val="continue"/>
            <w:vAlign w:val="center"/>
          </w:tcPr>
          <w:p w14:paraId="5874EFCA">
            <w:pPr>
              <w:widowControl/>
              <w:jc w:val="center"/>
              <w:rPr>
                <w:rFonts w:ascii="宋体" w:cs="宋体"/>
                <w:color w:val="auto"/>
                <w:kern w:val="0"/>
                <w:sz w:val="24"/>
                <w:highlight w:val="none"/>
              </w:rPr>
            </w:pPr>
          </w:p>
        </w:tc>
        <w:tc>
          <w:tcPr>
            <w:tcW w:w="1072" w:type="dxa"/>
            <w:vAlign w:val="center"/>
          </w:tcPr>
          <w:p w14:paraId="0624D80E">
            <w:pPr>
              <w:widowControl/>
              <w:jc w:val="center"/>
              <w:rPr>
                <w:rFonts w:ascii="Times New Roman" w:hAnsi="Times New Roman" w:cs="Times New Roman"/>
                <w:sz w:val="24"/>
                <w:highlight w:val="none"/>
              </w:rPr>
            </w:pPr>
            <w:r>
              <w:rPr>
                <w:rFonts w:ascii="Times New Roman" w:hAnsi="Times New Roman" w:cs="Times New Roman"/>
                <w:sz w:val="24"/>
                <w:highlight w:val="none"/>
              </w:rPr>
              <w:t>项目质量管理方案和措施</w:t>
            </w:r>
          </w:p>
        </w:tc>
        <w:tc>
          <w:tcPr>
            <w:tcW w:w="6598" w:type="dxa"/>
            <w:vAlign w:val="center"/>
          </w:tcPr>
          <w:p w14:paraId="5ACF2D5E">
            <w:pPr>
              <w:pStyle w:val="6"/>
              <w:numPr>
                <w:ilvl w:val="0"/>
                <w:numId w:val="0"/>
              </w:numPr>
              <w:adjustRightInd w:val="0"/>
              <w:snapToGrid w:val="0"/>
              <w:spacing w:line="360" w:lineRule="exact"/>
              <w:rPr>
                <w:rFonts w:hAnsi="宋体" w:cs="宋体"/>
                <w:bCs/>
                <w:color w:val="auto"/>
                <w:sz w:val="24"/>
                <w:highlight w:val="none"/>
              </w:rPr>
            </w:pPr>
            <w:r>
              <w:rPr>
                <w:rFonts w:hAnsi="宋体" w:cs="宋体"/>
                <w:bCs/>
                <w:color w:val="auto"/>
                <w:sz w:val="24"/>
                <w:highlight w:val="none"/>
              </w:rPr>
              <w:t>根据本项目质量控制要求及国家/行业/地方验收标准，编制专项管理方案，核心措施应包括但不限于标准落实机制、关键工序及隐蔽工程举牌验收流程、质量追溯档案建立、保修管理机制、竣工验收与移交流程规范等：</w:t>
            </w:r>
          </w:p>
          <w:p w14:paraId="43B1FA38">
            <w:pPr>
              <w:pStyle w:val="6"/>
              <w:numPr>
                <w:ilvl w:val="0"/>
                <w:numId w:val="5"/>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内容详细完整</w:t>
            </w:r>
            <w:r>
              <w:rPr>
                <w:rFonts w:hint="eastAsia" w:hAnsi="宋体" w:cs="宋体"/>
                <w:bCs/>
                <w:color w:val="auto"/>
                <w:sz w:val="24"/>
                <w:highlight w:val="none"/>
                <w:lang w:eastAsia="zh-CN"/>
              </w:rPr>
              <w:t>，</w:t>
            </w:r>
            <w:r>
              <w:rPr>
                <w:rFonts w:hAnsi="宋体" w:cs="宋体"/>
                <w:bCs/>
                <w:color w:val="auto"/>
                <w:sz w:val="24"/>
                <w:highlight w:val="none"/>
              </w:rPr>
              <w:t>措施详细具体，可行性强，能确保工程质量合格的，得</w:t>
            </w:r>
            <w:r>
              <w:rPr>
                <w:rFonts w:hint="eastAsia" w:hAnsi="宋体" w:cs="宋体"/>
                <w:bCs/>
                <w:color w:val="auto"/>
                <w:sz w:val="24"/>
                <w:highlight w:val="none"/>
                <w:lang w:val="en-US" w:eastAsia="zh-CN"/>
              </w:rPr>
              <w:t>5</w:t>
            </w:r>
            <w:r>
              <w:rPr>
                <w:rFonts w:hAnsi="宋体" w:cs="宋体"/>
                <w:bCs/>
                <w:color w:val="auto"/>
                <w:sz w:val="24"/>
                <w:highlight w:val="none"/>
              </w:rPr>
              <w:t>分；</w:t>
            </w:r>
          </w:p>
          <w:p w14:paraId="3CED1DBB">
            <w:pPr>
              <w:pStyle w:val="6"/>
              <w:numPr>
                <w:ilvl w:val="0"/>
                <w:numId w:val="5"/>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内容较完整</w:t>
            </w:r>
            <w:r>
              <w:rPr>
                <w:rFonts w:hint="eastAsia" w:hAnsi="宋体" w:cs="宋体"/>
                <w:bCs/>
                <w:color w:val="auto"/>
                <w:sz w:val="24"/>
                <w:highlight w:val="none"/>
                <w:lang w:eastAsia="zh-CN"/>
              </w:rPr>
              <w:t>，</w:t>
            </w:r>
            <w:r>
              <w:rPr>
                <w:rFonts w:hAnsi="宋体" w:cs="宋体"/>
                <w:bCs/>
                <w:color w:val="auto"/>
                <w:sz w:val="24"/>
                <w:highlight w:val="none"/>
              </w:rPr>
              <w:t>措施较具体，可行性较强，</w:t>
            </w:r>
            <w:r>
              <w:rPr>
                <w:rFonts w:hint="eastAsia" w:hAnsi="宋体" w:cs="宋体"/>
                <w:bCs/>
                <w:color w:val="auto"/>
                <w:sz w:val="24"/>
                <w:highlight w:val="none"/>
                <w:lang w:val="en-US" w:eastAsia="zh-CN"/>
              </w:rPr>
              <w:t>较</w:t>
            </w:r>
            <w:r>
              <w:rPr>
                <w:rFonts w:hAnsi="宋体" w:cs="宋体"/>
                <w:bCs/>
                <w:color w:val="auto"/>
                <w:sz w:val="24"/>
                <w:highlight w:val="none"/>
              </w:rPr>
              <w:t>能保障工程质量合格的，得</w:t>
            </w:r>
            <w:r>
              <w:rPr>
                <w:rFonts w:hint="eastAsia" w:hAnsi="宋体" w:cs="宋体"/>
                <w:bCs/>
                <w:color w:val="auto"/>
                <w:sz w:val="24"/>
                <w:highlight w:val="none"/>
                <w:lang w:val="en-US" w:eastAsia="zh-CN"/>
              </w:rPr>
              <w:t>3</w:t>
            </w:r>
            <w:r>
              <w:rPr>
                <w:rFonts w:hAnsi="宋体" w:cs="宋体"/>
                <w:bCs/>
                <w:color w:val="auto"/>
                <w:sz w:val="24"/>
                <w:highlight w:val="none"/>
              </w:rPr>
              <w:t>分；</w:t>
            </w:r>
          </w:p>
          <w:p w14:paraId="3C467652">
            <w:pPr>
              <w:pStyle w:val="6"/>
              <w:numPr>
                <w:ilvl w:val="0"/>
                <w:numId w:val="5"/>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内容基本完整</w:t>
            </w:r>
            <w:r>
              <w:rPr>
                <w:rFonts w:hint="eastAsia" w:hAnsi="宋体" w:cs="宋体"/>
                <w:bCs/>
                <w:color w:val="auto"/>
                <w:sz w:val="24"/>
                <w:highlight w:val="none"/>
                <w:lang w:eastAsia="zh-CN"/>
              </w:rPr>
              <w:t>，</w:t>
            </w:r>
            <w:r>
              <w:rPr>
                <w:rFonts w:hAnsi="宋体" w:cs="宋体"/>
                <w:bCs/>
                <w:color w:val="auto"/>
                <w:sz w:val="24"/>
                <w:highlight w:val="none"/>
              </w:rPr>
              <w:t>措施基本具体，可行性一般，基本能保障工程质量合格的，得</w:t>
            </w:r>
            <w:r>
              <w:rPr>
                <w:rFonts w:hint="eastAsia" w:hAnsi="宋体" w:cs="宋体"/>
                <w:bCs/>
                <w:color w:val="auto"/>
                <w:sz w:val="24"/>
                <w:highlight w:val="none"/>
                <w:lang w:val="en-US" w:eastAsia="zh-CN"/>
              </w:rPr>
              <w:t>2</w:t>
            </w:r>
            <w:r>
              <w:rPr>
                <w:rFonts w:hAnsi="宋体" w:cs="宋体"/>
                <w:bCs/>
                <w:color w:val="auto"/>
                <w:sz w:val="24"/>
                <w:highlight w:val="none"/>
              </w:rPr>
              <w:t>分；</w:t>
            </w:r>
          </w:p>
          <w:p w14:paraId="3DD5B168">
            <w:pPr>
              <w:pStyle w:val="6"/>
              <w:numPr>
                <w:ilvl w:val="0"/>
                <w:numId w:val="5"/>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内容不完整</w:t>
            </w:r>
            <w:r>
              <w:rPr>
                <w:rFonts w:hint="eastAsia" w:hAnsi="宋体" w:cs="宋体"/>
                <w:bCs/>
                <w:color w:val="auto"/>
                <w:sz w:val="24"/>
                <w:highlight w:val="none"/>
                <w:lang w:eastAsia="zh-CN"/>
              </w:rPr>
              <w:t>，</w:t>
            </w:r>
            <w:r>
              <w:rPr>
                <w:rFonts w:hAnsi="宋体" w:cs="宋体"/>
                <w:bCs/>
                <w:color w:val="auto"/>
                <w:sz w:val="24"/>
                <w:highlight w:val="none"/>
              </w:rPr>
              <w:t>措施简单，可行性不足，难以保障工程质量合格的，得1分；</w:t>
            </w:r>
          </w:p>
          <w:p w14:paraId="02ADC821">
            <w:pPr>
              <w:pStyle w:val="6"/>
              <w:numPr>
                <w:ilvl w:val="0"/>
                <w:numId w:val="5"/>
              </w:numPr>
              <w:adjustRightInd w:val="0"/>
              <w:snapToGrid w:val="0"/>
              <w:spacing w:line="360" w:lineRule="exact"/>
              <w:rPr>
                <w:rFonts w:hAnsi="宋体" w:cs="宋体"/>
                <w:bCs/>
                <w:color w:val="auto"/>
                <w:sz w:val="24"/>
                <w:highlight w:val="none"/>
              </w:rPr>
            </w:pPr>
            <w:r>
              <w:rPr>
                <w:rFonts w:hAnsi="宋体" w:cs="宋体"/>
                <w:bCs/>
                <w:color w:val="auto"/>
                <w:sz w:val="24"/>
                <w:highlight w:val="none"/>
              </w:rPr>
              <w:t>不符合要求或仅为条款式、无实际内容或未提供的，得0分。</w:t>
            </w:r>
          </w:p>
        </w:tc>
        <w:tc>
          <w:tcPr>
            <w:tcW w:w="700" w:type="dxa"/>
            <w:vAlign w:val="center"/>
          </w:tcPr>
          <w:p w14:paraId="41398588">
            <w:pPr>
              <w:widowControl/>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5分</w:t>
            </w:r>
          </w:p>
        </w:tc>
      </w:tr>
      <w:tr w14:paraId="1B4415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10" w:hRule="atLeast"/>
          <w:jc w:val="center"/>
        </w:trPr>
        <w:tc>
          <w:tcPr>
            <w:tcW w:w="701" w:type="dxa"/>
            <w:vMerge w:val="continue"/>
            <w:vAlign w:val="center"/>
          </w:tcPr>
          <w:p w14:paraId="2503AC6D">
            <w:pPr>
              <w:widowControl/>
              <w:jc w:val="center"/>
              <w:rPr>
                <w:rFonts w:ascii="宋体" w:cs="宋体"/>
                <w:color w:val="auto"/>
                <w:kern w:val="0"/>
                <w:sz w:val="24"/>
                <w:highlight w:val="none"/>
              </w:rPr>
            </w:pPr>
          </w:p>
        </w:tc>
        <w:tc>
          <w:tcPr>
            <w:tcW w:w="1072" w:type="dxa"/>
            <w:vAlign w:val="center"/>
          </w:tcPr>
          <w:p w14:paraId="6675B37B">
            <w:pPr>
              <w:widowControl/>
              <w:jc w:val="center"/>
              <w:rPr>
                <w:rFonts w:ascii="Times New Roman" w:hAnsi="Times New Roman" w:cs="Times New Roman"/>
                <w:sz w:val="24"/>
                <w:highlight w:val="none"/>
              </w:rPr>
            </w:pPr>
            <w:r>
              <w:rPr>
                <w:rFonts w:ascii="Times New Roman" w:hAnsi="Times New Roman" w:cs="Times New Roman"/>
                <w:sz w:val="24"/>
                <w:highlight w:val="none"/>
              </w:rPr>
              <w:t>项目安全文明施工管理方案和措施</w:t>
            </w:r>
          </w:p>
        </w:tc>
        <w:tc>
          <w:tcPr>
            <w:tcW w:w="6598" w:type="dxa"/>
            <w:vAlign w:val="center"/>
          </w:tcPr>
          <w:p w14:paraId="1FEB33F5">
            <w:pPr>
              <w:pStyle w:val="6"/>
              <w:numPr>
                <w:ilvl w:val="0"/>
                <w:numId w:val="0"/>
              </w:numPr>
              <w:adjustRightInd w:val="0"/>
              <w:snapToGrid w:val="0"/>
              <w:spacing w:line="360" w:lineRule="exact"/>
              <w:rPr>
                <w:rFonts w:hAnsi="宋体" w:cs="宋体"/>
                <w:bCs/>
                <w:color w:val="auto"/>
                <w:sz w:val="24"/>
                <w:highlight w:val="none"/>
              </w:rPr>
            </w:pPr>
            <w:r>
              <w:rPr>
                <w:rFonts w:hAnsi="宋体" w:cs="宋体"/>
                <w:bCs/>
                <w:color w:val="auto"/>
                <w:sz w:val="24"/>
                <w:highlight w:val="none"/>
              </w:rPr>
              <w:t>根据</w:t>
            </w:r>
            <w:r>
              <w:rPr>
                <w:rFonts w:hAnsi="宋体" w:cs="宋体"/>
                <w:bCs/>
                <w:color w:val="auto"/>
                <w:sz w:val="24"/>
                <w:highlight w:val="none"/>
              </w:rPr>
              <w:t>本项目安全文明控制目标</w:t>
            </w:r>
            <w:r>
              <w:rPr>
                <w:rFonts w:hAnsi="宋体" w:cs="宋体"/>
                <w:bCs/>
                <w:color w:val="auto"/>
                <w:sz w:val="24"/>
                <w:highlight w:val="none"/>
              </w:rPr>
              <w:t>，编制专项管理方案，核心措施应包括但不限于亡人事故零目标落实、大气污染防治 “6个100%” 执行、地下管线及周边构筑物保护、安全应急预案、文明施工专项方案：</w:t>
            </w:r>
          </w:p>
          <w:p w14:paraId="046A9AA9">
            <w:pPr>
              <w:pStyle w:val="6"/>
              <w:numPr>
                <w:ilvl w:val="0"/>
                <w:numId w:val="6"/>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内容详细完整</w:t>
            </w:r>
            <w:r>
              <w:rPr>
                <w:rFonts w:hint="eastAsia" w:hAnsi="宋体" w:cs="宋体"/>
                <w:bCs/>
                <w:color w:val="auto"/>
                <w:sz w:val="24"/>
                <w:highlight w:val="none"/>
                <w:lang w:eastAsia="zh-CN"/>
              </w:rPr>
              <w:t>，</w:t>
            </w:r>
            <w:r>
              <w:rPr>
                <w:rFonts w:hAnsi="宋体" w:cs="宋体"/>
                <w:bCs/>
                <w:color w:val="auto"/>
                <w:sz w:val="24"/>
                <w:highlight w:val="none"/>
              </w:rPr>
              <w:t>措施详细具体，针对性强，能杜绝安全事故且符合文明施工要求的，得</w:t>
            </w:r>
            <w:r>
              <w:rPr>
                <w:rFonts w:hint="eastAsia" w:hAnsi="宋体" w:cs="宋体"/>
                <w:bCs/>
                <w:color w:val="auto"/>
                <w:sz w:val="24"/>
                <w:highlight w:val="none"/>
                <w:lang w:val="en-US" w:eastAsia="zh-CN"/>
              </w:rPr>
              <w:t>5</w:t>
            </w:r>
            <w:r>
              <w:rPr>
                <w:rFonts w:hAnsi="宋体" w:cs="宋体"/>
                <w:bCs/>
                <w:color w:val="auto"/>
                <w:sz w:val="24"/>
                <w:highlight w:val="none"/>
              </w:rPr>
              <w:t>分；</w:t>
            </w:r>
          </w:p>
          <w:p w14:paraId="36E204E7">
            <w:pPr>
              <w:pStyle w:val="6"/>
              <w:numPr>
                <w:ilvl w:val="0"/>
                <w:numId w:val="6"/>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内容较完整</w:t>
            </w:r>
            <w:r>
              <w:rPr>
                <w:rFonts w:hint="eastAsia" w:hAnsi="宋体" w:cs="宋体"/>
                <w:bCs/>
                <w:color w:val="auto"/>
                <w:sz w:val="24"/>
                <w:highlight w:val="none"/>
                <w:lang w:eastAsia="zh-CN"/>
              </w:rPr>
              <w:t>，</w:t>
            </w:r>
            <w:r>
              <w:rPr>
                <w:rFonts w:hAnsi="宋体" w:cs="宋体"/>
                <w:bCs/>
                <w:color w:val="auto"/>
                <w:sz w:val="24"/>
                <w:highlight w:val="none"/>
              </w:rPr>
              <w:t>措施较具体，针对性较强，能保障安全事故零目标</w:t>
            </w:r>
            <w:r>
              <w:rPr>
                <w:rFonts w:hint="eastAsia" w:hAnsi="宋体" w:cs="宋体"/>
                <w:bCs/>
                <w:color w:val="auto"/>
                <w:sz w:val="24"/>
                <w:highlight w:val="none"/>
                <w:lang w:eastAsia="zh-CN"/>
              </w:rPr>
              <w:t>，</w:t>
            </w:r>
            <w:r>
              <w:rPr>
                <w:rFonts w:hint="eastAsia" w:hAnsi="宋体" w:cs="宋体"/>
                <w:bCs/>
                <w:color w:val="auto"/>
                <w:sz w:val="24"/>
                <w:highlight w:val="none"/>
                <w:lang w:val="en-US" w:eastAsia="zh-CN"/>
              </w:rPr>
              <w:t>较符合文明施工要求的</w:t>
            </w:r>
            <w:r>
              <w:rPr>
                <w:rFonts w:hAnsi="宋体" w:cs="宋体"/>
                <w:bCs/>
                <w:color w:val="auto"/>
                <w:sz w:val="24"/>
                <w:highlight w:val="none"/>
              </w:rPr>
              <w:t>，得</w:t>
            </w:r>
            <w:r>
              <w:rPr>
                <w:rFonts w:hint="eastAsia" w:hAnsi="宋体" w:cs="宋体"/>
                <w:bCs/>
                <w:color w:val="auto"/>
                <w:sz w:val="24"/>
                <w:highlight w:val="none"/>
                <w:lang w:val="en-US" w:eastAsia="zh-CN"/>
              </w:rPr>
              <w:t>3</w:t>
            </w:r>
            <w:r>
              <w:rPr>
                <w:rFonts w:hAnsi="宋体" w:cs="宋体"/>
                <w:bCs/>
                <w:color w:val="auto"/>
                <w:sz w:val="24"/>
                <w:highlight w:val="none"/>
              </w:rPr>
              <w:t>分；</w:t>
            </w:r>
          </w:p>
          <w:p w14:paraId="16E9322E">
            <w:pPr>
              <w:pStyle w:val="6"/>
              <w:numPr>
                <w:ilvl w:val="0"/>
                <w:numId w:val="6"/>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内容基本完整</w:t>
            </w:r>
            <w:r>
              <w:rPr>
                <w:rFonts w:hint="eastAsia" w:hAnsi="宋体" w:cs="宋体"/>
                <w:bCs/>
                <w:color w:val="auto"/>
                <w:sz w:val="24"/>
                <w:highlight w:val="none"/>
                <w:lang w:eastAsia="zh-CN"/>
              </w:rPr>
              <w:t>，</w:t>
            </w:r>
            <w:r>
              <w:rPr>
                <w:rFonts w:hAnsi="宋体" w:cs="宋体"/>
                <w:bCs/>
                <w:color w:val="auto"/>
                <w:sz w:val="24"/>
                <w:highlight w:val="none"/>
              </w:rPr>
              <w:t>措施基本具体，针对性一般，基本能保障安全事故零目标，</w:t>
            </w:r>
            <w:r>
              <w:rPr>
                <w:rFonts w:hint="eastAsia" w:hAnsi="宋体" w:cs="宋体"/>
                <w:bCs/>
                <w:color w:val="auto"/>
                <w:sz w:val="24"/>
                <w:highlight w:val="none"/>
                <w:lang w:val="en-US" w:eastAsia="zh-CN"/>
              </w:rPr>
              <w:t>基本符合文明施工要求的，</w:t>
            </w:r>
            <w:r>
              <w:rPr>
                <w:rFonts w:hAnsi="宋体" w:cs="宋体"/>
                <w:bCs/>
                <w:color w:val="auto"/>
                <w:sz w:val="24"/>
                <w:highlight w:val="none"/>
              </w:rPr>
              <w:t>得</w:t>
            </w:r>
            <w:r>
              <w:rPr>
                <w:rFonts w:hint="eastAsia" w:hAnsi="宋体" w:cs="宋体"/>
                <w:bCs/>
                <w:color w:val="auto"/>
                <w:sz w:val="24"/>
                <w:highlight w:val="none"/>
                <w:lang w:val="en-US" w:eastAsia="zh-CN"/>
              </w:rPr>
              <w:t>2</w:t>
            </w:r>
            <w:r>
              <w:rPr>
                <w:rFonts w:hAnsi="宋体" w:cs="宋体"/>
                <w:bCs/>
                <w:color w:val="auto"/>
                <w:sz w:val="24"/>
                <w:highlight w:val="none"/>
              </w:rPr>
              <w:t>分；</w:t>
            </w:r>
          </w:p>
          <w:p w14:paraId="0998521E">
            <w:pPr>
              <w:pStyle w:val="6"/>
              <w:numPr>
                <w:ilvl w:val="0"/>
                <w:numId w:val="6"/>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内容不完整</w:t>
            </w:r>
            <w:r>
              <w:rPr>
                <w:rFonts w:hint="eastAsia" w:hAnsi="宋体" w:cs="宋体"/>
                <w:bCs/>
                <w:color w:val="auto"/>
                <w:sz w:val="24"/>
                <w:highlight w:val="none"/>
                <w:lang w:eastAsia="zh-CN"/>
              </w:rPr>
              <w:t>，</w:t>
            </w:r>
            <w:r>
              <w:rPr>
                <w:rFonts w:hAnsi="宋体" w:cs="宋体"/>
                <w:bCs/>
                <w:color w:val="auto"/>
                <w:sz w:val="24"/>
                <w:highlight w:val="none"/>
              </w:rPr>
              <w:t>措施不完整，针对性不足，难以保障安全事故零目标，</w:t>
            </w:r>
            <w:r>
              <w:rPr>
                <w:rFonts w:hint="eastAsia" w:hAnsi="宋体" w:cs="宋体"/>
                <w:bCs/>
                <w:color w:val="auto"/>
                <w:sz w:val="24"/>
                <w:highlight w:val="none"/>
                <w:lang w:val="en-US" w:eastAsia="zh-CN"/>
              </w:rPr>
              <w:t>不符合文明施工要求的，</w:t>
            </w:r>
            <w:r>
              <w:rPr>
                <w:rFonts w:hAnsi="宋体" w:cs="宋体"/>
                <w:bCs/>
                <w:color w:val="auto"/>
                <w:sz w:val="24"/>
                <w:highlight w:val="none"/>
              </w:rPr>
              <w:t>得1分；</w:t>
            </w:r>
          </w:p>
          <w:p w14:paraId="3C8824A6">
            <w:pPr>
              <w:pStyle w:val="6"/>
              <w:numPr>
                <w:ilvl w:val="0"/>
                <w:numId w:val="6"/>
              </w:numPr>
              <w:adjustRightInd w:val="0"/>
              <w:snapToGrid w:val="0"/>
              <w:spacing w:line="360" w:lineRule="exact"/>
              <w:rPr>
                <w:rFonts w:hAnsi="宋体" w:cs="宋体"/>
                <w:bCs/>
                <w:color w:val="auto"/>
                <w:sz w:val="24"/>
                <w:highlight w:val="none"/>
              </w:rPr>
            </w:pPr>
            <w:r>
              <w:rPr>
                <w:rFonts w:hAnsi="宋体" w:cs="宋体"/>
                <w:bCs/>
                <w:color w:val="auto"/>
                <w:sz w:val="24"/>
                <w:highlight w:val="none"/>
              </w:rPr>
              <w:t>不符合要求或仅为条款式、无实际内容或未提供的，得0分。</w:t>
            </w:r>
          </w:p>
        </w:tc>
        <w:tc>
          <w:tcPr>
            <w:tcW w:w="700" w:type="dxa"/>
            <w:vAlign w:val="center"/>
          </w:tcPr>
          <w:p w14:paraId="2FC39E6B">
            <w:pPr>
              <w:widowControl/>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5分</w:t>
            </w:r>
          </w:p>
        </w:tc>
      </w:tr>
      <w:tr w14:paraId="43F249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10" w:hRule="atLeast"/>
          <w:jc w:val="center"/>
        </w:trPr>
        <w:tc>
          <w:tcPr>
            <w:tcW w:w="701" w:type="dxa"/>
            <w:vMerge w:val="continue"/>
            <w:vAlign w:val="center"/>
          </w:tcPr>
          <w:p w14:paraId="2CB199DC">
            <w:pPr>
              <w:widowControl/>
              <w:jc w:val="center"/>
              <w:rPr>
                <w:rFonts w:ascii="宋体" w:cs="宋体"/>
                <w:color w:val="auto"/>
                <w:kern w:val="0"/>
                <w:sz w:val="24"/>
                <w:highlight w:val="none"/>
              </w:rPr>
            </w:pPr>
          </w:p>
        </w:tc>
        <w:tc>
          <w:tcPr>
            <w:tcW w:w="1072" w:type="dxa"/>
            <w:vAlign w:val="center"/>
          </w:tcPr>
          <w:p w14:paraId="671C54A4">
            <w:pPr>
              <w:widowControl/>
              <w:jc w:val="center"/>
              <w:rPr>
                <w:sz w:val="24"/>
                <w:highlight w:val="none"/>
              </w:rPr>
            </w:pPr>
            <w:r>
              <w:rPr>
                <w:rFonts w:ascii="Times New Roman" w:hAnsi="Times New Roman" w:cs="Times New Roman"/>
                <w:sz w:val="24"/>
                <w:highlight w:val="none"/>
              </w:rPr>
              <w:t>项目工期安排及保证措施</w:t>
            </w:r>
          </w:p>
        </w:tc>
        <w:tc>
          <w:tcPr>
            <w:tcW w:w="6598" w:type="dxa"/>
            <w:vAlign w:val="center"/>
          </w:tcPr>
          <w:p w14:paraId="11921457">
            <w:pPr>
              <w:pStyle w:val="6"/>
              <w:numPr>
                <w:ilvl w:val="0"/>
                <w:numId w:val="0"/>
              </w:numPr>
              <w:adjustRightInd w:val="0"/>
              <w:snapToGrid w:val="0"/>
              <w:spacing w:line="360" w:lineRule="exact"/>
              <w:rPr>
                <w:rFonts w:hAnsi="宋体" w:cs="宋体"/>
                <w:bCs/>
                <w:color w:val="auto"/>
                <w:sz w:val="24"/>
                <w:highlight w:val="none"/>
              </w:rPr>
            </w:pPr>
            <w:r>
              <w:rPr>
                <w:rFonts w:hAnsi="宋体" w:cs="宋体"/>
                <w:bCs/>
                <w:color w:val="auto"/>
                <w:sz w:val="24"/>
                <w:highlight w:val="none"/>
              </w:rPr>
              <w:t>根据本项目总工期要求，编制专项安排方案，核心措施应包括但不限于前期工作时间拆分（合同生效至开工）、施工工期细化（开工至竣工）、竣工备案限期完成保障、关键节点管控、进度协调、异常情况工期调整机制等：</w:t>
            </w:r>
          </w:p>
          <w:p w14:paraId="042C0162">
            <w:pPr>
              <w:pStyle w:val="6"/>
              <w:numPr>
                <w:ilvl w:val="0"/>
                <w:numId w:val="7"/>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内容详细完整</w:t>
            </w:r>
            <w:r>
              <w:rPr>
                <w:rFonts w:hint="eastAsia" w:hAnsi="宋体" w:cs="宋体"/>
                <w:bCs/>
                <w:color w:val="auto"/>
                <w:sz w:val="24"/>
                <w:highlight w:val="none"/>
                <w:lang w:eastAsia="zh-CN"/>
              </w:rPr>
              <w:t>，</w:t>
            </w:r>
            <w:r>
              <w:rPr>
                <w:rFonts w:hAnsi="宋体" w:cs="宋体"/>
                <w:bCs/>
                <w:color w:val="auto"/>
                <w:sz w:val="24"/>
                <w:highlight w:val="none"/>
              </w:rPr>
              <w:t>工期安排合理，措施可行，能确保总工期达标的，得</w:t>
            </w:r>
            <w:r>
              <w:rPr>
                <w:rFonts w:hint="eastAsia" w:hAnsi="宋体" w:cs="宋体"/>
                <w:bCs/>
                <w:color w:val="auto"/>
                <w:sz w:val="24"/>
                <w:highlight w:val="none"/>
                <w:lang w:val="en-US" w:eastAsia="zh-CN"/>
              </w:rPr>
              <w:t>5</w:t>
            </w:r>
            <w:r>
              <w:rPr>
                <w:rFonts w:hAnsi="宋体" w:cs="宋体"/>
                <w:bCs/>
                <w:color w:val="auto"/>
                <w:sz w:val="24"/>
                <w:highlight w:val="none"/>
              </w:rPr>
              <w:t>分；</w:t>
            </w:r>
          </w:p>
          <w:p w14:paraId="654DFF4E">
            <w:pPr>
              <w:pStyle w:val="6"/>
              <w:numPr>
                <w:ilvl w:val="0"/>
                <w:numId w:val="7"/>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内容较完整</w:t>
            </w:r>
            <w:r>
              <w:rPr>
                <w:rFonts w:hint="eastAsia" w:hAnsi="宋体" w:cs="宋体"/>
                <w:bCs/>
                <w:color w:val="auto"/>
                <w:sz w:val="24"/>
                <w:highlight w:val="none"/>
                <w:lang w:eastAsia="zh-CN"/>
              </w:rPr>
              <w:t>，</w:t>
            </w:r>
            <w:r>
              <w:rPr>
                <w:rFonts w:hAnsi="宋体" w:cs="宋体"/>
                <w:bCs/>
                <w:color w:val="auto"/>
                <w:sz w:val="24"/>
                <w:highlight w:val="none"/>
              </w:rPr>
              <w:t>工期安排较合理，措施较可行，能保障总工期达标的，得</w:t>
            </w:r>
            <w:r>
              <w:rPr>
                <w:rFonts w:hint="eastAsia" w:hAnsi="宋体" w:cs="宋体"/>
                <w:bCs/>
                <w:color w:val="auto"/>
                <w:sz w:val="24"/>
                <w:highlight w:val="none"/>
                <w:lang w:val="en-US" w:eastAsia="zh-CN"/>
              </w:rPr>
              <w:t>3</w:t>
            </w:r>
            <w:r>
              <w:rPr>
                <w:rFonts w:hAnsi="宋体" w:cs="宋体"/>
                <w:bCs/>
                <w:color w:val="auto"/>
                <w:sz w:val="24"/>
                <w:highlight w:val="none"/>
              </w:rPr>
              <w:t>分；</w:t>
            </w:r>
          </w:p>
          <w:p w14:paraId="39BFE83A">
            <w:pPr>
              <w:pStyle w:val="6"/>
              <w:numPr>
                <w:ilvl w:val="0"/>
                <w:numId w:val="7"/>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内容基本完整</w:t>
            </w:r>
            <w:r>
              <w:rPr>
                <w:rFonts w:hint="eastAsia" w:hAnsi="宋体" w:cs="宋体"/>
                <w:bCs/>
                <w:color w:val="auto"/>
                <w:sz w:val="24"/>
                <w:highlight w:val="none"/>
                <w:lang w:eastAsia="zh-CN"/>
              </w:rPr>
              <w:t>，</w:t>
            </w:r>
            <w:r>
              <w:rPr>
                <w:rFonts w:hAnsi="宋体" w:cs="宋体"/>
                <w:bCs/>
                <w:color w:val="auto"/>
                <w:sz w:val="24"/>
                <w:highlight w:val="none"/>
              </w:rPr>
              <w:t>工期安排基本合理，措施基本可行，基本能保障总工期达标的，得</w:t>
            </w:r>
            <w:r>
              <w:rPr>
                <w:rFonts w:hint="eastAsia" w:hAnsi="宋体" w:cs="宋体"/>
                <w:bCs/>
                <w:color w:val="auto"/>
                <w:sz w:val="24"/>
                <w:highlight w:val="none"/>
                <w:lang w:val="en-US" w:eastAsia="zh-CN"/>
              </w:rPr>
              <w:t>2</w:t>
            </w:r>
            <w:r>
              <w:rPr>
                <w:rFonts w:hAnsi="宋体" w:cs="宋体"/>
                <w:bCs/>
                <w:color w:val="auto"/>
                <w:sz w:val="24"/>
                <w:highlight w:val="none"/>
              </w:rPr>
              <w:t>分；</w:t>
            </w:r>
          </w:p>
          <w:p w14:paraId="07CBEC66">
            <w:pPr>
              <w:pStyle w:val="6"/>
              <w:numPr>
                <w:ilvl w:val="0"/>
                <w:numId w:val="7"/>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内容不完整</w:t>
            </w:r>
            <w:r>
              <w:rPr>
                <w:rFonts w:hint="eastAsia" w:hAnsi="宋体" w:cs="宋体"/>
                <w:bCs/>
                <w:color w:val="auto"/>
                <w:sz w:val="24"/>
                <w:highlight w:val="none"/>
                <w:lang w:eastAsia="zh-CN"/>
              </w:rPr>
              <w:t>，</w:t>
            </w:r>
            <w:r>
              <w:rPr>
                <w:rFonts w:hAnsi="宋体" w:cs="宋体"/>
                <w:bCs/>
                <w:color w:val="auto"/>
                <w:sz w:val="24"/>
                <w:highlight w:val="none"/>
              </w:rPr>
              <w:t>工期安排</w:t>
            </w:r>
            <w:r>
              <w:rPr>
                <w:rFonts w:hint="eastAsia" w:hAnsi="宋体" w:cs="宋体"/>
                <w:bCs/>
                <w:color w:val="auto"/>
                <w:sz w:val="24"/>
                <w:highlight w:val="none"/>
                <w:lang w:val="en-US" w:eastAsia="zh-CN"/>
              </w:rPr>
              <w:t>不</w:t>
            </w:r>
            <w:r>
              <w:rPr>
                <w:rFonts w:hAnsi="宋体" w:cs="宋体"/>
                <w:bCs/>
                <w:color w:val="auto"/>
                <w:sz w:val="24"/>
                <w:highlight w:val="none"/>
              </w:rPr>
              <w:t>合理，措施不具体，难以保障总工期达标的，得1分；</w:t>
            </w:r>
          </w:p>
          <w:p w14:paraId="0B820B98">
            <w:pPr>
              <w:pStyle w:val="6"/>
              <w:numPr>
                <w:ilvl w:val="0"/>
                <w:numId w:val="7"/>
              </w:numPr>
              <w:adjustRightInd w:val="0"/>
              <w:snapToGrid w:val="0"/>
              <w:spacing w:line="360" w:lineRule="exact"/>
              <w:rPr>
                <w:rFonts w:hAnsi="宋体" w:cs="宋体"/>
                <w:bCs/>
                <w:color w:val="auto"/>
                <w:sz w:val="24"/>
                <w:highlight w:val="none"/>
              </w:rPr>
            </w:pPr>
            <w:r>
              <w:rPr>
                <w:rFonts w:hAnsi="宋体" w:cs="宋体"/>
                <w:bCs/>
                <w:color w:val="auto"/>
                <w:sz w:val="24"/>
                <w:highlight w:val="none"/>
              </w:rPr>
              <w:t>不符合要求或仅为条款式、无实际内容或未提供的，得0分。</w:t>
            </w:r>
          </w:p>
        </w:tc>
        <w:tc>
          <w:tcPr>
            <w:tcW w:w="700" w:type="dxa"/>
            <w:vAlign w:val="center"/>
          </w:tcPr>
          <w:p w14:paraId="3E271D59">
            <w:pPr>
              <w:widowControl/>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5分</w:t>
            </w:r>
          </w:p>
        </w:tc>
      </w:tr>
      <w:tr w14:paraId="00677C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10" w:hRule="atLeast"/>
          <w:jc w:val="center"/>
        </w:trPr>
        <w:tc>
          <w:tcPr>
            <w:tcW w:w="701" w:type="dxa"/>
            <w:vMerge w:val="continue"/>
            <w:vAlign w:val="center"/>
          </w:tcPr>
          <w:p w14:paraId="4D8F4A43">
            <w:pPr>
              <w:widowControl/>
              <w:jc w:val="center"/>
              <w:rPr>
                <w:rFonts w:ascii="宋体" w:cs="宋体"/>
                <w:color w:val="auto"/>
                <w:kern w:val="0"/>
                <w:sz w:val="24"/>
                <w:highlight w:val="none"/>
              </w:rPr>
            </w:pPr>
          </w:p>
        </w:tc>
        <w:tc>
          <w:tcPr>
            <w:tcW w:w="1072" w:type="dxa"/>
            <w:vAlign w:val="center"/>
          </w:tcPr>
          <w:p w14:paraId="50001D47">
            <w:pPr>
              <w:widowControl/>
              <w:jc w:val="center"/>
              <w:rPr>
                <w:rFonts w:ascii="Times New Roman" w:hAnsi="Times New Roman" w:cs="Times New Roman"/>
                <w:sz w:val="24"/>
                <w:highlight w:val="none"/>
              </w:rPr>
            </w:pPr>
            <w:r>
              <w:rPr>
                <w:rFonts w:ascii="Times New Roman" w:hAnsi="Times New Roman" w:cs="Times New Roman"/>
                <w:sz w:val="24"/>
                <w:highlight w:val="none"/>
              </w:rPr>
              <w:t>项目建设总体计划及人员管理方案</w:t>
            </w:r>
          </w:p>
        </w:tc>
        <w:tc>
          <w:tcPr>
            <w:tcW w:w="6598" w:type="dxa"/>
            <w:vAlign w:val="center"/>
          </w:tcPr>
          <w:p w14:paraId="4F493EDA">
            <w:pPr>
              <w:pStyle w:val="6"/>
              <w:numPr>
                <w:ilvl w:val="0"/>
                <w:numId w:val="0"/>
              </w:numPr>
              <w:adjustRightInd w:val="0"/>
              <w:snapToGrid w:val="0"/>
              <w:spacing w:line="360" w:lineRule="exact"/>
              <w:rPr>
                <w:rFonts w:hAnsi="宋体" w:cs="宋体"/>
                <w:bCs/>
                <w:color w:val="auto"/>
                <w:sz w:val="24"/>
                <w:highlight w:val="none"/>
              </w:rPr>
            </w:pPr>
            <w:r>
              <w:rPr>
                <w:rFonts w:hAnsi="宋体" w:cs="宋体"/>
                <w:bCs/>
                <w:color w:val="auto"/>
                <w:sz w:val="24"/>
                <w:highlight w:val="none"/>
              </w:rPr>
              <w:t>根据本项目建设全流程及人员配置要求，编制专项方案，核心内容应包括但不限于招标采购-施工实施-竣工验收-结算决算的全流程衔接计划、人员配置、岗位职责划分、人员轮换机制、考核管理办法、异常情况协同处置流程等：</w:t>
            </w:r>
          </w:p>
          <w:p w14:paraId="30C23F49">
            <w:pPr>
              <w:pStyle w:val="6"/>
              <w:numPr>
                <w:ilvl w:val="0"/>
                <w:numId w:val="8"/>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内容详细完整</w:t>
            </w:r>
            <w:r>
              <w:rPr>
                <w:rFonts w:hint="eastAsia" w:hAnsi="宋体" w:cs="宋体"/>
                <w:bCs/>
                <w:color w:val="auto"/>
                <w:sz w:val="24"/>
                <w:highlight w:val="none"/>
                <w:lang w:eastAsia="zh-CN"/>
              </w:rPr>
              <w:t>，</w:t>
            </w:r>
            <w:r>
              <w:rPr>
                <w:rFonts w:hAnsi="宋体" w:cs="宋体"/>
                <w:bCs/>
                <w:color w:val="auto"/>
                <w:sz w:val="24"/>
                <w:highlight w:val="none"/>
              </w:rPr>
              <w:t>总体计划衔接顺畅，人员配置</w:t>
            </w:r>
            <w:r>
              <w:rPr>
                <w:rFonts w:hint="eastAsia" w:hAnsi="宋体" w:cs="宋体"/>
                <w:bCs/>
                <w:color w:val="auto"/>
                <w:sz w:val="24"/>
                <w:highlight w:val="none"/>
                <w:lang w:val="en-US" w:eastAsia="zh-CN"/>
              </w:rPr>
              <w:t>充分满足需求</w:t>
            </w:r>
            <w:r>
              <w:rPr>
                <w:rFonts w:hAnsi="宋体" w:cs="宋体"/>
                <w:bCs/>
                <w:color w:val="auto"/>
                <w:sz w:val="24"/>
                <w:highlight w:val="none"/>
              </w:rPr>
              <w:t>，管理方案与协同处置流程清晰可行，能保障项目有序推进的，得</w:t>
            </w:r>
            <w:r>
              <w:rPr>
                <w:rFonts w:hint="eastAsia" w:hAnsi="宋体" w:cs="宋体"/>
                <w:bCs/>
                <w:color w:val="auto"/>
                <w:sz w:val="24"/>
                <w:highlight w:val="none"/>
                <w:lang w:val="en-US" w:eastAsia="zh-CN"/>
              </w:rPr>
              <w:t>10</w:t>
            </w:r>
            <w:r>
              <w:rPr>
                <w:rFonts w:hAnsi="宋体" w:cs="宋体"/>
                <w:bCs/>
                <w:color w:val="auto"/>
                <w:sz w:val="24"/>
                <w:highlight w:val="none"/>
              </w:rPr>
              <w:t>分；</w:t>
            </w:r>
          </w:p>
          <w:p w14:paraId="1BE9E982">
            <w:pPr>
              <w:pStyle w:val="6"/>
              <w:numPr>
                <w:ilvl w:val="0"/>
                <w:numId w:val="8"/>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内容较完整</w:t>
            </w:r>
            <w:r>
              <w:rPr>
                <w:rFonts w:hint="eastAsia" w:hAnsi="宋体" w:cs="宋体"/>
                <w:bCs/>
                <w:color w:val="auto"/>
                <w:sz w:val="24"/>
                <w:highlight w:val="none"/>
                <w:lang w:eastAsia="zh-CN"/>
              </w:rPr>
              <w:t>，</w:t>
            </w:r>
            <w:r>
              <w:rPr>
                <w:rFonts w:hAnsi="宋体" w:cs="宋体"/>
                <w:bCs/>
                <w:color w:val="auto"/>
                <w:sz w:val="24"/>
                <w:highlight w:val="none"/>
              </w:rPr>
              <w:t>总体计划较合理，人员配置</w:t>
            </w:r>
            <w:r>
              <w:rPr>
                <w:rFonts w:ascii="宋体" w:hAnsi="宋体" w:eastAsia="宋体" w:cs="宋体"/>
                <w:sz w:val="24"/>
                <w:szCs w:val="24"/>
                <w:highlight w:val="none"/>
              </w:rPr>
              <w:t>较满足需求</w:t>
            </w:r>
            <w:r>
              <w:rPr>
                <w:rFonts w:hAnsi="宋体" w:cs="宋体"/>
                <w:bCs/>
                <w:color w:val="auto"/>
                <w:sz w:val="24"/>
                <w:highlight w:val="none"/>
              </w:rPr>
              <w:t>，管理方案与协同处置流程较清晰可行，</w:t>
            </w:r>
            <w:r>
              <w:rPr>
                <w:rFonts w:hint="eastAsia" w:hAnsi="宋体" w:cs="宋体"/>
                <w:bCs/>
                <w:color w:val="auto"/>
                <w:sz w:val="24"/>
                <w:highlight w:val="none"/>
                <w:lang w:val="en-US" w:eastAsia="zh-CN"/>
              </w:rPr>
              <w:t>较</w:t>
            </w:r>
            <w:r>
              <w:rPr>
                <w:rFonts w:hAnsi="宋体" w:cs="宋体"/>
                <w:bCs/>
                <w:color w:val="auto"/>
                <w:sz w:val="24"/>
                <w:highlight w:val="none"/>
              </w:rPr>
              <w:t>能保障项目基本推进的，得</w:t>
            </w:r>
            <w:r>
              <w:rPr>
                <w:rFonts w:hint="eastAsia" w:hAnsi="宋体" w:cs="宋体"/>
                <w:bCs/>
                <w:color w:val="auto"/>
                <w:sz w:val="24"/>
                <w:highlight w:val="none"/>
                <w:lang w:val="en-US" w:eastAsia="zh-CN"/>
              </w:rPr>
              <w:t>7</w:t>
            </w:r>
            <w:r>
              <w:rPr>
                <w:rFonts w:hAnsi="宋体" w:cs="宋体"/>
                <w:bCs/>
                <w:color w:val="auto"/>
                <w:sz w:val="24"/>
                <w:highlight w:val="none"/>
              </w:rPr>
              <w:t>分；</w:t>
            </w:r>
          </w:p>
          <w:p w14:paraId="225F706D">
            <w:pPr>
              <w:pStyle w:val="6"/>
              <w:numPr>
                <w:ilvl w:val="0"/>
                <w:numId w:val="8"/>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内容基本完整</w:t>
            </w:r>
            <w:r>
              <w:rPr>
                <w:rFonts w:hint="eastAsia" w:hAnsi="宋体" w:cs="宋体"/>
                <w:bCs/>
                <w:color w:val="auto"/>
                <w:sz w:val="24"/>
                <w:highlight w:val="none"/>
                <w:lang w:eastAsia="zh-CN"/>
              </w:rPr>
              <w:t>，</w:t>
            </w:r>
            <w:r>
              <w:rPr>
                <w:rFonts w:hAnsi="宋体" w:cs="宋体"/>
                <w:bCs/>
                <w:color w:val="auto"/>
                <w:sz w:val="24"/>
                <w:highlight w:val="none"/>
              </w:rPr>
              <w:t>总体计划基本合理，人员配置</w:t>
            </w:r>
            <w:r>
              <w:rPr>
                <w:rFonts w:ascii="宋体" w:hAnsi="宋体" w:eastAsia="宋体" w:cs="宋体"/>
                <w:sz w:val="24"/>
                <w:szCs w:val="24"/>
                <w:highlight w:val="none"/>
              </w:rPr>
              <w:t>基本满足需求</w:t>
            </w:r>
            <w:r>
              <w:rPr>
                <w:rFonts w:hAnsi="宋体" w:cs="宋体"/>
                <w:bCs/>
                <w:color w:val="auto"/>
                <w:sz w:val="24"/>
                <w:highlight w:val="none"/>
              </w:rPr>
              <w:t>，管理方案与协同处置流程基本清晰可行，基本能保障项目推进的，得</w:t>
            </w:r>
            <w:r>
              <w:rPr>
                <w:rFonts w:hint="eastAsia" w:hAnsi="宋体" w:cs="宋体"/>
                <w:bCs/>
                <w:color w:val="auto"/>
                <w:sz w:val="24"/>
                <w:highlight w:val="none"/>
                <w:lang w:val="en-US" w:eastAsia="zh-CN"/>
              </w:rPr>
              <w:t>4</w:t>
            </w:r>
            <w:r>
              <w:rPr>
                <w:rFonts w:hAnsi="宋体" w:cs="宋体"/>
                <w:bCs/>
                <w:color w:val="auto"/>
                <w:sz w:val="24"/>
                <w:highlight w:val="none"/>
              </w:rPr>
              <w:t>分；</w:t>
            </w:r>
          </w:p>
          <w:p w14:paraId="47A5EF87">
            <w:pPr>
              <w:pStyle w:val="6"/>
              <w:numPr>
                <w:ilvl w:val="0"/>
                <w:numId w:val="8"/>
              </w:numPr>
              <w:adjustRightInd w:val="0"/>
              <w:snapToGrid w:val="0"/>
              <w:spacing w:line="360" w:lineRule="exact"/>
              <w:rPr>
                <w:rFonts w:hAnsi="宋体" w:cs="宋体"/>
                <w:bCs/>
                <w:color w:val="auto"/>
                <w:sz w:val="24"/>
                <w:highlight w:val="none"/>
              </w:rPr>
            </w:pPr>
            <w:r>
              <w:rPr>
                <w:rFonts w:hAnsi="宋体" w:cs="宋体"/>
                <w:bCs/>
                <w:color w:val="auto"/>
                <w:sz w:val="24"/>
                <w:highlight w:val="none"/>
              </w:rPr>
              <w:t>内容不完整</w:t>
            </w:r>
            <w:r>
              <w:rPr>
                <w:rFonts w:hint="eastAsia" w:hAnsi="宋体" w:cs="宋体"/>
                <w:bCs/>
                <w:color w:val="auto"/>
                <w:sz w:val="24"/>
                <w:highlight w:val="none"/>
                <w:lang w:eastAsia="zh-CN"/>
              </w:rPr>
              <w:t>，</w:t>
            </w:r>
            <w:r>
              <w:rPr>
                <w:rFonts w:hAnsi="宋体" w:cs="宋体"/>
                <w:bCs/>
                <w:color w:val="auto"/>
                <w:sz w:val="24"/>
                <w:highlight w:val="none"/>
              </w:rPr>
              <w:t>总体计划</w:t>
            </w:r>
            <w:r>
              <w:rPr>
                <w:rFonts w:hint="eastAsia" w:hAnsi="宋体" w:cs="宋体"/>
                <w:bCs/>
                <w:color w:val="auto"/>
                <w:sz w:val="24"/>
                <w:highlight w:val="none"/>
                <w:lang w:val="en-US" w:eastAsia="zh-CN"/>
              </w:rPr>
              <w:t>不</w:t>
            </w:r>
            <w:r>
              <w:rPr>
                <w:rFonts w:hAnsi="宋体" w:cs="宋体"/>
                <w:bCs/>
                <w:color w:val="auto"/>
                <w:sz w:val="24"/>
                <w:highlight w:val="none"/>
              </w:rPr>
              <w:t>合理，人员配置</w:t>
            </w:r>
            <w:r>
              <w:rPr>
                <w:rFonts w:hint="eastAsia" w:ascii="宋体" w:hAnsi="宋体" w:eastAsia="宋体" w:cs="宋体"/>
                <w:sz w:val="24"/>
                <w:szCs w:val="24"/>
                <w:highlight w:val="none"/>
                <w:lang w:val="en-US" w:eastAsia="zh-CN"/>
              </w:rPr>
              <w:t>不</w:t>
            </w:r>
            <w:r>
              <w:rPr>
                <w:rFonts w:ascii="宋体" w:hAnsi="宋体" w:eastAsia="宋体" w:cs="宋体"/>
                <w:sz w:val="24"/>
                <w:szCs w:val="24"/>
                <w:highlight w:val="none"/>
              </w:rPr>
              <w:t>满足需求</w:t>
            </w:r>
            <w:r>
              <w:rPr>
                <w:rFonts w:hAnsi="宋体" w:cs="宋体"/>
                <w:bCs/>
                <w:color w:val="auto"/>
                <w:sz w:val="24"/>
                <w:highlight w:val="none"/>
              </w:rPr>
              <w:t>，管理方案或协同流程不清晰，难以保障项目推进的，得</w:t>
            </w:r>
            <w:r>
              <w:rPr>
                <w:rFonts w:hint="eastAsia" w:hAnsi="宋体" w:cs="宋体"/>
                <w:bCs/>
                <w:color w:val="auto"/>
                <w:sz w:val="24"/>
                <w:highlight w:val="none"/>
                <w:lang w:val="en-US" w:eastAsia="zh-CN"/>
              </w:rPr>
              <w:t>1</w:t>
            </w:r>
            <w:r>
              <w:rPr>
                <w:rFonts w:hAnsi="宋体" w:cs="宋体"/>
                <w:bCs/>
                <w:color w:val="auto"/>
                <w:sz w:val="24"/>
                <w:highlight w:val="none"/>
              </w:rPr>
              <w:t>分；</w:t>
            </w:r>
          </w:p>
          <w:p w14:paraId="3C559578">
            <w:pPr>
              <w:pStyle w:val="6"/>
              <w:numPr>
                <w:ilvl w:val="0"/>
                <w:numId w:val="8"/>
              </w:numPr>
              <w:adjustRightInd w:val="0"/>
              <w:snapToGrid w:val="0"/>
              <w:spacing w:line="360" w:lineRule="exact"/>
              <w:rPr>
                <w:rFonts w:hAnsi="宋体" w:cs="宋体"/>
                <w:bCs/>
                <w:color w:val="auto"/>
                <w:sz w:val="24"/>
                <w:highlight w:val="none"/>
              </w:rPr>
            </w:pPr>
            <w:r>
              <w:rPr>
                <w:rFonts w:hAnsi="宋体" w:cs="宋体"/>
                <w:bCs/>
                <w:color w:val="auto"/>
                <w:sz w:val="24"/>
                <w:highlight w:val="none"/>
              </w:rPr>
              <w:t>不符合要求或仅为条款式、无实际内容或未提供的，得0分。</w:t>
            </w:r>
          </w:p>
        </w:tc>
        <w:tc>
          <w:tcPr>
            <w:tcW w:w="700" w:type="dxa"/>
            <w:vAlign w:val="center"/>
          </w:tcPr>
          <w:p w14:paraId="04E9585F">
            <w:pPr>
              <w:widowControl/>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10分</w:t>
            </w:r>
          </w:p>
        </w:tc>
      </w:tr>
      <w:tr w14:paraId="37436E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86" w:hRule="atLeast"/>
          <w:jc w:val="center"/>
        </w:trPr>
        <w:tc>
          <w:tcPr>
            <w:tcW w:w="701" w:type="dxa"/>
            <w:vMerge w:val="restart"/>
            <w:vAlign w:val="center"/>
          </w:tcPr>
          <w:p w14:paraId="072733B9">
            <w:pPr>
              <w:widowControl/>
              <w:jc w:val="left"/>
              <w:rPr>
                <w:rFonts w:ascii="宋体" w:cs="宋体"/>
                <w:color w:val="auto"/>
                <w:kern w:val="0"/>
                <w:sz w:val="24"/>
                <w:highlight w:val="none"/>
              </w:rPr>
            </w:pPr>
            <w:r>
              <w:rPr>
                <w:rFonts w:hint="eastAsia" w:ascii="宋体" w:hAnsi="宋体" w:cs="宋体"/>
                <w:bCs/>
                <w:color w:val="auto"/>
                <w:kern w:val="0"/>
                <w:sz w:val="24"/>
                <w:highlight w:val="none"/>
              </w:rPr>
              <w:t>商务部分</w:t>
            </w:r>
            <w:r>
              <w:rPr>
                <w:rFonts w:hint="eastAsia" w:ascii="宋体" w:hAnsi="宋体" w:cs="宋体"/>
                <w:bCs/>
                <w:color w:val="auto"/>
                <w:kern w:val="0"/>
                <w:sz w:val="24"/>
                <w:highlight w:val="none"/>
                <w:lang w:val="en-US" w:eastAsia="zh-CN"/>
              </w:rPr>
              <w:t>35</w:t>
            </w:r>
            <w:r>
              <w:rPr>
                <w:rFonts w:hint="eastAsia" w:ascii="宋体" w:hAnsi="宋体" w:cs="宋体"/>
                <w:bCs/>
                <w:color w:val="auto"/>
                <w:kern w:val="0"/>
                <w:sz w:val="24"/>
                <w:highlight w:val="none"/>
              </w:rPr>
              <w:t>分</w:t>
            </w:r>
          </w:p>
        </w:tc>
        <w:tc>
          <w:tcPr>
            <w:tcW w:w="1072" w:type="dxa"/>
            <w:vAlign w:val="center"/>
          </w:tcPr>
          <w:p w14:paraId="0791D391">
            <w:pPr>
              <w:widowControl/>
              <w:jc w:val="center"/>
              <w:rPr>
                <w:rFonts w:hint="default" w:ascii="宋体" w:eastAsia="宋体" w:cs="宋体"/>
                <w:color w:val="auto"/>
                <w:kern w:val="0"/>
                <w:sz w:val="24"/>
                <w:highlight w:val="none"/>
                <w:lang w:val="en-US" w:eastAsia="zh-CN"/>
              </w:rPr>
            </w:pPr>
            <w:r>
              <w:rPr>
                <w:rFonts w:hint="eastAsia"/>
                <w:sz w:val="24"/>
                <w:highlight w:val="none"/>
                <w:lang w:val="en-US" w:eastAsia="zh-CN"/>
              </w:rPr>
              <w:t>相关业绩</w:t>
            </w:r>
          </w:p>
        </w:tc>
        <w:tc>
          <w:tcPr>
            <w:tcW w:w="6598" w:type="dxa"/>
            <w:vAlign w:val="center"/>
          </w:tcPr>
          <w:p w14:paraId="52F610D8">
            <w:pPr>
              <w:widowControl/>
              <w:jc w:val="both"/>
              <w:rPr>
                <w:rFonts w:hAnsi="宋体" w:cs="宋体" w:asciiTheme="minorEastAsia" w:eastAsiaTheme="minorEastAsia"/>
                <w:bCs/>
                <w:color w:val="auto"/>
                <w:kern w:val="2"/>
                <w:sz w:val="24"/>
                <w:szCs w:val="24"/>
                <w:highlight w:val="none"/>
                <w:lang w:val="en-US" w:eastAsia="zh-CN" w:bidi="ar-SA"/>
              </w:rPr>
            </w:pPr>
            <w:r>
              <w:rPr>
                <w:rFonts w:hint="eastAsia" w:hAnsi="宋体" w:cs="宋体" w:asciiTheme="minorEastAsia" w:eastAsiaTheme="minorEastAsia"/>
                <w:bCs/>
                <w:color w:val="auto"/>
                <w:kern w:val="2"/>
                <w:sz w:val="24"/>
                <w:szCs w:val="24"/>
                <w:highlight w:val="none"/>
                <w:lang w:val="en-US" w:eastAsia="zh-CN" w:bidi="ar-SA"/>
              </w:rPr>
              <w:t>自2021年8月1日以来（以合同签订时间为准）</w:t>
            </w:r>
            <w:r>
              <w:rPr>
                <w:rFonts w:hAnsi="宋体" w:cs="宋体" w:asciiTheme="minorEastAsia" w:eastAsiaTheme="minorEastAsia"/>
                <w:bCs/>
                <w:color w:val="auto"/>
                <w:kern w:val="2"/>
                <w:sz w:val="24"/>
                <w:szCs w:val="24"/>
                <w:highlight w:val="none"/>
                <w:lang w:val="en-US" w:eastAsia="zh-CN" w:bidi="ar-SA"/>
              </w:rPr>
              <w:t>承接过</w:t>
            </w:r>
            <w:r>
              <w:rPr>
                <w:rFonts w:hint="eastAsia" w:hAnsi="宋体" w:cs="宋体" w:asciiTheme="minorEastAsia" w:eastAsiaTheme="minorEastAsia"/>
                <w:bCs/>
                <w:color w:val="auto"/>
                <w:kern w:val="2"/>
                <w:sz w:val="24"/>
                <w:szCs w:val="24"/>
                <w:highlight w:val="none"/>
                <w:lang w:val="en-US" w:eastAsia="zh-CN" w:bidi="ar-SA"/>
              </w:rPr>
              <w:t>房屋建筑工程</w:t>
            </w:r>
            <w:r>
              <w:rPr>
                <w:rFonts w:hAnsi="宋体" w:cs="宋体" w:asciiTheme="minorEastAsia" w:eastAsiaTheme="minorEastAsia"/>
                <w:bCs/>
                <w:color w:val="auto"/>
                <w:kern w:val="2"/>
                <w:sz w:val="24"/>
                <w:szCs w:val="24"/>
                <w:highlight w:val="none"/>
                <w:lang w:val="en-US" w:eastAsia="zh-CN" w:bidi="ar-SA"/>
              </w:rPr>
              <w:t>代建</w:t>
            </w:r>
            <w:r>
              <w:rPr>
                <w:rFonts w:hint="eastAsia" w:hAnsi="宋体" w:cs="宋体" w:asciiTheme="minorEastAsia" w:eastAsiaTheme="minorEastAsia"/>
                <w:bCs/>
                <w:color w:val="auto"/>
                <w:kern w:val="2"/>
                <w:sz w:val="24"/>
                <w:szCs w:val="24"/>
                <w:highlight w:val="none"/>
                <w:lang w:val="en-US" w:eastAsia="zh-CN" w:bidi="ar-SA"/>
              </w:rPr>
              <w:t>或项目（工程）管理或监理或施工或全过程咨询</w:t>
            </w:r>
            <w:r>
              <w:rPr>
                <w:rFonts w:hAnsi="宋体" w:cs="宋体" w:asciiTheme="minorEastAsia" w:eastAsiaTheme="minorEastAsia"/>
                <w:bCs/>
                <w:color w:val="auto"/>
                <w:kern w:val="2"/>
                <w:sz w:val="24"/>
                <w:szCs w:val="24"/>
                <w:highlight w:val="none"/>
                <w:lang w:val="en-US" w:eastAsia="zh-CN" w:bidi="ar-SA"/>
              </w:rPr>
              <w:t>业绩的，每提供一份有效业绩得</w:t>
            </w:r>
            <w:r>
              <w:rPr>
                <w:rFonts w:hint="eastAsia" w:hAnsi="宋体" w:cs="宋体" w:asciiTheme="minorEastAsia" w:eastAsiaTheme="minorEastAsia"/>
                <w:bCs/>
                <w:color w:val="auto"/>
                <w:kern w:val="2"/>
                <w:sz w:val="24"/>
                <w:szCs w:val="24"/>
                <w:highlight w:val="none"/>
                <w:lang w:val="en-US" w:eastAsia="zh-CN" w:bidi="ar-SA"/>
              </w:rPr>
              <w:t>5</w:t>
            </w:r>
            <w:r>
              <w:rPr>
                <w:rFonts w:hAnsi="宋体" w:cs="宋体" w:asciiTheme="minorEastAsia" w:eastAsiaTheme="minorEastAsia"/>
                <w:bCs/>
                <w:color w:val="auto"/>
                <w:kern w:val="2"/>
                <w:sz w:val="24"/>
                <w:szCs w:val="24"/>
                <w:highlight w:val="none"/>
                <w:lang w:val="en-US" w:eastAsia="zh-CN" w:bidi="ar-SA"/>
              </w:rPr>
              <w:t>分，本项满分</w:t>
            </w:r>
            <w:r>
              <w:rPr>
                <w:rFonts w:hint="eastAsia" w:hAnsi="宋体" w:cs="宋体" w:asciiTheme="minorEastAsia" w:eastAsiaTheme="minorEastAsia"/>
                <w:bCs/>
                <w:color w:val="auto"/>
                <w:kern w:val="2"/>
                <w:sz w:val="24"/>
                <w:szCs w:val="24"/>
                <w:highlight w:val="none"/>
                <w:lang w:val="en-US" w:eastAsia="zh-CN" w:bidi="ar-SA"/>
              </w:rPr>
              <w:t>20</w:t>
            </w:r>
            <w:r>
              <w:rPr>
                <w:rFonts w:hAnsi="宋体" w:cs="宋体" w:asciiTheme="minorEastAsia" w:eastAsiaTheme="minorEastAsia"/>
                <w:bCs/>
                <w:color w:val="auto"/>
                <w:kern w:val="2"/>
                <w:sz w:val="24"/>
                <w:szCs w:val="24"/>
                <w:highlight w:val="none"/>
                <w:lang w:val="en-US" w:eastAsia="zh-CN" w:bidi="ar-SA"/>
              </w:rPr>
              <w:t>分。</w:t>
            </w:r>
          </w:p>
          <w:p w14:paraId="73254343">
            <w:pPr>
              <w:widowControl/>
              <w:jc w:val="both"/>
              <w:rPr>
                <w:rFonts w:hAnsi="宋体" w:cs="宋体"/>
                <w:bCs/>
                <w:color w:val="auto"/>
                <w:sz w:val="24"/>
                <w:highlight w:val="none"/>
                <w:lang w:val="en-US" w:eastAsia="zh-CN"/>
              </w:rPr>
            </w:pPr>
            <w:r>
              <w:rPr>
                <w:rFonts w:hAnsi="宋体" w:cs="宋体" w:asciiTheme="minorEastAsia" w:eastAsiaTheme="minorEastAsia"/>
                <w:bCs/>
                <w:color w:val="auto"/>
                <w:kern w:val="2"/>
                <w:sz w:val="24"/>
                <w:szCs w:val="24"/>
                <w:highlight w:val="none"/>
                <w:lang w:val="en-US" w:eastAsia="zh-CN" w:bidi="ar-SA"/>
              </w:rPr>
              <w:t>注：</w:t>
            </w:r>
          </w:p>
          <w:p w14:paraId="3D53D302">
            <w:pPr>
              <w:pStyle w:val="6"/>
              <w:numPr>
                <w:ilvl w:val="0"/>
                <w:numId w:val="9"/>
              </w:numPr>
              <w:adjustRightInd w:val="0"/>
              <w:snapToGrid w:val="0"/>
              <w:spacing w:line="360" w:lineRule="exact"/>
              <w:rPr>
                <w:rFonts w:hAnsi="宋体" w:cs="宋体"/>
                <w:bCs/>
                <w:color w:val="auto"/>
                <w:sz w:val="24"/>
                <w:highlight w:val="none"/>
                <w:lang w:val="en-US" w:eastAsia="zh-CN"/>
              </w:rPr>
            </w:pPr>
            <w:r>
              <w:rPr>
                <w:rFonts w:hAnsi="宋体" w:cs="宋体"/>
                <w:bCs/>
                <w:color w:val="auto"/>
                <w:sz w:val="24"/>
                <w:highlight w:val="none"/>
                <w:lang w:val="en-US" w:eastAsia="zh-CN"/>
              </w:rPr>
              <w:t>须提供</w:t>
            </w:r>
            <w:r>
              <w:rPr>
                <w:rFonts w:hint="eastAsia" w:hAnsi="宋体" w:cs="宋体"/>
                <w:bCs/>
                <w:color w:val="auto"/>
                <w:sz w:val="24"/>
                <w:highlight w:val="none"/>
                <w:lang w:val="en-US" w:eastAsia="zh-CN"/>
              </w:rPr>
              <w:t>合同</w:t>
            </w:r>
            <w:r>
              <w:rPr>
                <w:rFonts w:hAnsi="宋体" w:cs="宋体"/>
                <w:bCs/>
                <w:color w:val="auto"/>
                <w:sz w:val="24"/>
                <w:highlight w:val="none"/>
                <w:lang w:val="en-US" w:eastAsia="zh-CN"/>
              </w:rPr>
              <w:t>关键页扫描件（合同协议书、服务内容、签署页等）。如前述证明材料不能清晰反映有关特征和必要信息的，还须提供该项工程业绩的业主证明并须附有业主方的联系人及联系电话。如合同包含多个工程，只按一</w:t>
            </w:r>
            <w:r>
              <w:rPr>
                <w:rFonts w:hint="eastAsia" w:hAnsi="宋体" w:cs="宋体"/>
                <w:bCs/>
                <w:color w:val="auto"/>
                <w:sz w:val="24"/>
                <w:highlight w:val="none"/>
                <w:lang w:val="en-US" w:eastAsia="zh-CN"/>
              </w:rPr>
              <w:t>项</w:t>
            </w:r>
            <w:r>
              <w:rPr>
                <w:rFonts w:hAnsi="宋体" w:cs="宋体"/>
                <w:bCs/>
                <w:color w:val="auto"/>
                <w:sz w:val="24"/>
                <w:highlight w:val="none"/>
                <w:lang w:val="en-US" w:eastAsia="zh-CN"/>
              </w:rPr>
              <w:t>业绩计算。分包合同不予计分。</w:t>
            </w:r>
          </w:p>
          <w:p w14:paraId="2D2C1E1E">
            <w:pPr>
              <w:pStyle w:val="6"/>
              <w:numPr>
                <w:ilvl w:val="0"/>
                <w:numId w:val="9"/>
              </w:numPr>
              <w:adjustRightInd w:val="0"/>
              <w:snapToGrid w:val="0"/>
              <w:spacing w:line="360" w:lineRule="exact"/>
              <w:rPr>
                <w:rFonts w:ascii="Times New Roman" w:hAnsi="Times New Roman" w:cs="Times New Roman"/>
                <w:highlight w:val="none"/>
              </w:rPr>
            </w:pPr>
            <w:r>
              <w:rPr>
                <w:rFonts w:hAnsi="宋体" w:cs="宋体"/>
                <w:bCs/>
                <w:color w:val="auto"/>
                <w:sz w:val="24"/>
                <w:highlight w:val="none"/>
                <w:lang w:val="en-US" w:eastAsia="zh-CN"/>
              </w:rPr>
              <w:t>未提供或提供的资</w:t>
            </w:r>
            <w:r>
              <w:rPr>
                <w:rFonts w:hAnsi="宋体" w:cs="宋体" w:asciiTheme="minorEastAsia" w:eastAsiaTheme="minorEastAsia"/>
                <w:bCs/>
                <w:color w:val="auto"/>
                <w:kern w:val="2"/>
                <w:sz w:val="24"/>
                <w:szCs w:val="24"/>
                <w:highlight w:val="none"/>
                <w:lang w:val="en-US" w:eastAsia="zh-CN" w:bidi="ar-SA"/>
              </w:rPr>
              <w:t>料不符合要求的则不得分。</w:t>
            </w:r>
          </w:p>
        </w:tc>
        <w:tc>
          <w:tcPr>
            <w:tcW w:w="700" w:type="dxa"/>
            <w:vAlign w:val="center"/>
          </w:tcPr>
          <w:p w14:paraId="56806173">
            <w:pPr>
              <w:widowControl/>
              <w:jc w:val="center"/>
              <w:rPr>
                <w:rFonts w:hint="default" w:eastAsia="宋体"/>
                <w:color w:val="auto"/>
                <w:highlight w:val="none"/>
                <w:lang w:val="en-US" w:eastAsia="zh-CN"/>
              </w:rPr>
            </w:pPr>
            <w:r>
              <w:rPr>
                <w:rFonts w:hint="eastAsia" w:ascii="宋体" w:hAnsi="宋体" w:cs="宋体"/>
                <w:color w:val="auto"/>
                <w:sz w:val="24"/>
                <w:highlight w:val="none"/>
                <w:lang w:val="en-US" w:eastAsia="zh-CN"/>
              </w:rPr>
              <w:t>20</w:t>
            </w:r>
            <w:r>
              <w:rPr>
                <w:rFonts w:hint="eastAsia" w:ascii="宋体" w:hAnsi="宋体" w:cs="宋体"/>
                <w:color w:val="auto"/>
                <w:sz w:val="24"/>
                <w:highlight w:val="none"/>
              </w:rPr>
              <w:t>分</w:t>
            </w:r>
          </w:p>
        </w:tc>
      </w:tr>
      <w:tr w14:paraId="129FBF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089" w:hRule="atLeast"/>
          <w:jc w:val="center"/>
        </w:trPr>
        <w:tc>
          <w:tcPr>
            <w:tcW w:w="701" w:type="dxa"/>
            <w:vMerge w:val="continue"/>
            <w:vAlign w:val="center"/>
          </w:tcPr>
          <w:p w14:paraId="7B3FF481">
            <w:pPr>
              <w:widowControl/>
              <w:jc w:val="center"/>
              <w:rPr>
                <w:rFonts w:ascii="宋体" w:hAnsi="宋体" w:cs="宋体"/>
                <w:b/>
                <w:color w:val="auto"/>
                <w:kern w:val="0"/>
                <w:sz w:val="24"/>
                <w:highlight w:val="none"/>
              </w:rPr>
            </w:pPr>
          </w:p>
        </w:tc>
        <w:tc>
          <w:tcPr>
            <w:tcW w:w="1072" w:type="dxa"/>
            <w:vAlign w:val="center"/>
          </w:tcPr>
          <w:p w14:paraId="71DEFD39">
            <w:pPr>
              <w:widowControl/>
              <w:jc w:val="center"/>
              <w:rPr>
                <w:rFonts w:ascii="宋体" w:hAnsi="宋体"/>
                <w:b/>
                <w:color w:val="auto"/>
                <w:sz w:val="24"/>
                <w:highlight w:val="none"/>
              </w:rPr>
            </w:pPr>
            <w:r>
              <w:rPr>
                <w:sz w:val="24"/>
                <w:highlight w:val="none"/>
              </w:rPr>
              <w:t>拟派</w:t>
            </w:r>
            <w:r>
              <w:rPr>
                <w:rFonts w:hint="eastAsia"/>
                <w:sz w:val="24"/>
                <w:highlight w:val="none"/>
                <w:lang w:val="en-US" w:eastAsia="zh-CN"/>
              </w:rPr>
              <w:t>人员</w:t>
            </w:r>
            <w:r>
              <w:rPr>
                <w:sz w:val="24"/>
                <w:highlight w:val="none"/>
              </w:rPr>
              <w:t>情况</w:t>
            </w:r>
          </w:p>
        </w:tc>
        <w:tc>
          <w:tcPr>
            <w:tcW w:w="6598" w:type="dxa"/>
            <w:vAlign w:val="top"/>
          </w:tcPr>
          <w:p w14:paraId="23D272C5">
            <w:pPr>
              <w:widowControl/>
              <w:numPr>
                <w:ilvl w:val="0"/>
                <w:numId w:val="0"/>
              </w:numPr>
              <w:jc w:val="left"/>
              <w:rPr>
                <w:rFonts w:hAnsi="宋体" w:cs="宋体" w:asciiTheme="minorEastAsia" w:eastAsiaTheme="minorEastAsia"/>
                <w:bCs/>
                <w:color w:val="auto"/>
                <w:kern w:val="2"/>
                <w:sz w:val="24"/>
                <w:szCs w:val="24"/>
                <w:highlight w:val="none"/>
                <w:lang w:val="en-US" w:eastAsia="zh-CN" w:bidi="ar-SA"/>
              </w:rPr>
            </w:pPr>
            <w:r>
              <w:rPr>
                <w:rFonts w:hAnsi="宋体" w:cs="宋体" w:asciiTheme="minorEastAsia" w:eastAsiaTheme="minorEastAsia"/>
                <w:bCs/>
                <w:color w:val="auto"/>
                <w:kern w:val="2"/>
                <w:sz w:val="24"/>
                <w:szCs w:val="24"/>
                <w:highlight w:val="none"/>
                <w:lang w:val="en-US" w:eastAsia="zh-CN" w:bidi="ar-SA"/>
              </w:rPr>
              <w:t>拟投入本项目管理团队人员（项目</w:t>
            </w:r>
            <w:r>
              <w:rPr>
                <w:rFonts w:hint="eastAsia" w:hAnsi="宋体" w:cs="宋体" w:asciiTheme="minorEastAsia" w:eastAsiaTheme="minorEastAsia"/>
                <w:bCs/>
                <w:color w:val="auto"/>
                <w:kern w:val="2"/>
                <w:sz w:val="24"/>
                <w:szCs w:val="24"/>
                <w:highlight w:val="none"/>
                <w:lang w:val="en-US" w:eastAsia="zh-CN" w:bidi="ar-SA"/>
              </w:rPr>
              <w:t>负责人</w:t>
            </w:r>
            <w:r>
              <w:rPr>
                <w:rFonts w:hAnsi="宋体" w:cs="宋体" w:asciiTheme="minorEastAsia" w:eastAsiaTheme="minorEastAsia"/>
                <w:bCs/>
                <w:color w:val="auto"/>
                <w:kern w:val="2"/>
                <w:sz w:val="24"/>
                <w:szCs w:val="24"/>
                <w:highlight w:val="none"/>
                <w:lang w:val="en-US" w:eastAsia="zh-CN" w:bidi="ar-SA"/>
              </w:rPr>
              <w:t>除外）具备工程类</w:t>
            </w:r>
            <w:r>
              <w:rPr>
                <w:rFonts w:hint="default" w:hAnsi="宋体" w:cs="宋体" w:asciiTheme="minorEastAsia" w:eastAsiaTheme="minorEastAsia"/>
                <w:bCs/>
                <w:color w:val="auto"/>
                <w:kern w:val="2"/>
                <w:sz w:val="24"/>
                <w:szCs w:val="24"/>
                <w:highlight w:val="none"/>
                <w:lang w:val="en-US" w:eastAsia="zh-CN" w:bidi="ar-SA"/>
              </w:rPr>
              <w:t>高级</w:t>
            </w:r>
            <w:r>
              <w:rPr>
                <w:rFonts w:hAnsi="宋体" w:cs="宋体" w:asciiTheme="minorEastAsia" w:eastAsiaTheme="minorEastAsia"/>
                <w:bCs/>
                <w:color w:val="auto"/>
                <w:kern w:val="2"/>
                <w:sz w:val="24"/>
                <w:szCs w:val="24"/>
                <w:highlight w:val="none"/>
                <w:lang w:val="en-US" w:eastAsia="zh-CN" w:bidi="ar-SA"/>
              </w:rPr>
              <w:t>工程师(或以上)职称的，每人得</w:t>
            </w:r>
            <w:r>
              <w:rPr>
                <w:rFonts w:hint="default" w:hAnsi="宋体" w:cs="宋体" w:asciiTheme="minorEastAsia" w:eastAsiaTheme="minorEastAsia"/>
                <w:bCs/>
                <w:color w:val="auto"/>
                <w:kern w:val="2"/>
                <w:sz w:val="24"/>
                <w:szCs w:val="24"/>
                <w:highlight w:val="none"/>
                <w:lang w:val="en-US" w:eastAsia="zh-CN" w:bidi="ar-SA"/>
              </w:rPr>
              <w:t>5</w:t>
            </w:r>
            <w:r>
              <w:rPr>
                <w:rFonts w:hAnsi="宋体" w:cs="宋体" w:asciiTheme="minorEastAsia" w:eastAsiaTheme="minorEastAsia"/>
                <w:bCs/>
                <w:color w:val="auto"/>
                <w:kern w:val="2"/>
                <w:sz w:val="24"/>
                <w:szCs w:val="24"/>
                <w:highlight w:val="none"/>
                <w:lang w:val="en-US" w:eastAsia="zh-CN" w:bidi="ar-SA"/>
              </w:rPr>
              <w:t>分，本项满分15分。</w:t>
            </w:r>
          </w:p>
          <w:p w14:paraId="0F8D9922">
            <w:pPr>
              <w:widowControl/>
              <w:numPr>
                <w:ilvl w:val="0"/>
                <w:numId w:val="0"/>
              </w:numPr>
              <w:jc w:val="left"/>
              <w:rPr>
                <w:rFonts w:hAnsi="宋体" w:cs="宋体" w:asciiTheme="minorEastAsia" w:eastAsiaTheme="minorEastAsia"/>
                <w:bCs/>
                <w:color w:val="auto"/>
                <w:kern w:val="2"/>
                <w:sz w:val="24"/>
                <w:szCs w:val="24"/>
                <w:highlight w:val="none"/>
                <w:lang w:val="en-US" w:eastAsia="zh-CN" w:bidi="ar-SA"/>
              </w:rPr>
            </w:pPr>
            <w:r>
              <w:rPr>
                <w:rFonts w:hAnsi="宋体" w:cs="宋体" w:asciiTheme="minorEastAsia" w:eastAsiaTheme="minorEastAsia"/>
                <w:bCs/>
                <w:color w:val="auto"/>
                <w:kern w:val="2"/>
                <w:sz w:val="24"/>
                <w:szCs w:val="24"/>
                <w:highlight w:val="none"/>
                <w:lang w:val="en-US" w:eastAsia="zh-CN" w:bidi="ar-SA"/>
              </w:rPr>
              <w:t>注：</w:t>
            </w:r>
          </w:p>
          <w:p w14:paraId="7979636E">
            <w:pPr>
              <w:widowControl/>
              <w:numPr>
                <w:ilvl w:val="0"/>
                <w:numId w:val="0"/>
              </w:numPr>
              <w:jc w:val="left"/>
              <w:rPr>
                <w:rFonts w:hAnsi="宋体" w:cs="宋体" w:asciiTheme="minorEastAsia" w:eastAsiaTheme="minorEastAsia"/>
                <w:bCs/>
                <w:color w:val="auto"/>
                <w:kern w:val="2"/>
                <w:sz w:val="24"/>
                <w:szCs w:val="24"/>
                <w:highlight w:val="none"/>
                <w:lang w:val="en-US" w:eastAsia="zh-CN" w:bidi="ar-SA"/>
              </w:rPr>
            </w:pPr>
            <w:r>
              <w:rPr>
                <w:rFonts w:hint="eastAsia" w:hAnsi="宋体" w:cs="宋体" w:asciiTheme="minorEastAsia" w:eastAsiaTheme="minorEastAsia"/>
                <w:bCs/>
                <w:color w:val="auto"/>
                <w:sz w:val="24"/>
                <w:highlight w:val="none"/>
                <w:lang w:val="en-US" w:eastAsia="zh-CN"/>
              </w:rPr>
              <w:t>1.</w:t>
            </w:r>
            <w:r>
              <w:rPr>
                <w:rFonts w:hAnsi="宋体" w:cs="宋体" w:asciiTheme="minorEastAsia" w:eastAsiaTheme="minorEastAsia"/>
                <w:bCs/>
                <w:color w:val="auto"/>
                <w:sz w:val="24"/>
                <w:highlight w:val="none"/>
              </w:rPr>
              <w:t>须提供</w:t>
            </w:r>
            <w:r>
              <w:rPr>
                <w:rFonts w:hint="eastAsia" w:hAnsi="宋体" w:cs="宋体" w:asciiTheme="minorEastAsia" w:eastAsiaTheme="minorEastAsia"/>
                <w:bCs/>
                <w:color w:val="auto"/>
                <w:sz w:val="24"/>
                <w:highlight w:val="none"/>
                <w:lang w:val="en-US" w:eastAsia="zh-CN"/>
              </w:rPr>
              <w:t>上述人员相关证书扫描件和本项目采购公告发布之日起</w:t>
            </w:r>
            <w:r>
              <w:rPr>
                <w:rFonts w:hint="default" w:hAnsi="宋体" w:cs="宋体" w:asciiTheme="minorEastAsia" w:eastAsiaTheme="minorEastAsia"/>
                <w:bCs/>
                <w:color w:val="auto"/>
                <w:sz w:val="24"/>
                <w:highlight w:val="none"/>
              </w:rPr>
              <w:t>前三个月内任意一个月</w:t>
            </w:r>
            <w:r>
              <w:rPr>
                <w:rFonts w:hint="eastAsia" w:hAnsi="宋体" w:cs="宋体" w:asciiTheme="minorEastAsia" w:eastAsiaTheme="minorEastAsia"/>
                <w:bCs/>
                <w:color w:val="auto"/>
                <w:sz w:val="24"/>
                <w:highlight w:val="none"/>
                <w:lang w:val="en-US" w:eastAsia="zh-CN"/>
              </w:rPr>
              <w:t>的社保证明</w:t>
            </w:r>
            <w:r>
              <w:rPr>
                <w:rFonts w:hAnsi="宋体" w:cs="宋体" w:asciiTheme="minorEastAsia" w:eastAsiaTheme="minorEastAsia"/>
                <w:bCs/>
                <w:color w:val="auto"/>
                <w:sz w:val="24"/>
                <w:highlight w:val="none"/>
              </w:rPr>
              <w:t>（</w:t>
            </w:r>
            <w:r>
              <w:rPr>
                <w:rFonts w:hint="eastAsia" w:hAnsi="宋体" w:cs="宋体" w:asciiTheme="minorEastAsia" w:eastAsiaTheme="minorEastAsia"/>
                <w:bCs/>
                <w:color w:val="auto"/>
                <w:sz w:val="24"/>
                <w:highlight w:val="none"/>
              </w:rPr>
              <w:t>社保证明缴费单位需为</w:t>
            </w:r>
            <w:r>
              <w:rPr>
                <w:rFonts w:hint="eastAsia" w:hAnsi="宋体" w:cs="宋体" w:asciiTheme="minorEastAsia" w:eastAsiaTheme="minorEastAsia"/>
                <w:bCs/>
                <w:color w:val="auto"/>
                <w:sz w:val="24"/>
                <w:highlight w:val="none"/>
                <w:lang w:eastAsia="zh-CN"/>
              </w:rPr>
              <w:t>供应商</w:t>
            </w:r>
            <w:r>
              <w:rPr>
                <w:rFonts w:hint="eastAsia" w:hAnsi="宋体" w:cs="宋体" w:asciiTheme="minorEastAsia" w:eastAsiaTheme="minorEastAsia"/>
                <w:bCs/>
                <w:color w:val="auto"/>
                <w:sz w:val="24"/>
                <w:highlight w:val="none"/>
              </w:rPr>
              <w:t>或其分支机构</w:t>
            </w:r>
            <w:r>
              <w:rPr>
                <w:rFonts w:hint="eastAsia" w:hAnsi="宋体" w:cs="宋体" w:asciiTheme="minorEastAsia" w:eastAsiaTheme="minorEastAsia"/>
                <w:bCs/>
                <w:color w:val="auto"/>
                <w:sz w:val="24"/>
                <w:highlight w:val="none"/>
                <w:lang w:eastAsia="zh-CN"/>
              </w:rPr>
              <w:t>）</w:t>
            </w:r>
            <w:r>
              <w:rPr>
                <w:rFonts w:hint="eastAsia" w:hAnsi="宋体" w:cs="宋体" w:asciiTheme="minorEastAsia" w:eastAsiaTheme="minorEastAsia"/>
                <w:bCs/>
                <w:color w:val="auto"/>
                <w:sz w:val="24"/>
                <w:highlight w:val="none"/>
              </w:rPr>
              <w:t>，</w:t>
            </w:r>
            <w:r>
              <w:rPr>
                <w:rFonts w:hAnsi="宋体" w:cs="宋体" w:asciiTheme="minorEastAsia" w:eastAsiaTheme="minorEastAsia"/>
                <w:bCs/>
                <w:color w:val="auto"/>
                <w:sz w:val="24"/>
                <w:highlight w:val="none"/>
              </w:rPr>
              <w:t>如社保证明为清单形式，请在清单中标记出以上相关人员，以便核查</w:t>
            </w:r>
            <w:r>
              <w:rPr>
                <w:rFonts w:hint="eastAsia" w:hAnsi="宋体" w:cs="宋体" w:asciiTheme="minorEastAsia" w:eastAsiaTheme="minorEastAsia"/>
                <w:bCs/>
                <w:color w:val="auto"/>
                <w:sz w:val="24"/>
                <w:highlight w:val="none"/>
                <w:lang w:val="en-US" w:eastAsia="zh-CN"/>
              </w:rPr>
              <w:t>；如上述人员为境外企业任职，可提供在职证明资料；</w:t>
            </w:r>
            <w:r>
              <w:rPr>
                <w:rFonts w:hAnsi="宋体" w:cs="宋体" w:asciiTheme="minorEastAsia" w:eastAsiaTheme="minorEastAsia"/>
                <w:bCs/>
                <w:color w:val="auto"/>
                <w:sz w:val="24"/>
                <w:highlight w:val="none"/>
              </w:rPr>
              <w:t>离退休人员提供返聘劳务合同或相关证明文件；以上资料提供复印件</w:t>
            </w:r>
            <w:r>
              <w:rPr>
                <w:rFonts w:hint="eastAsia" w:hAnsi="宋体" w:cs="宋体" w:asciiTheme="minorEastAsia" w:eastAsiaTheme="minorEastAsia"/>
                <w:bCs/>
                <w:color w:val="auto"/>
                <w:sz w:val="24"/>
                <w:highlight w:val="none"/>
                <w:lang w:val="en-US" w:eastAsia="zh-CN"/>
              </w:rPr>
              <w:t>并</w:t>
            </w:r>
            <w:r>
              <w:rPr>
                <w:rFonts w:hAnsi="宋体" w:cs="宋体" w:asciiTheme="minorEastAsia" w:eastAsiaTheme="minorEastAsia"/>
                <w:bCs/>
                <w:color w:val="auto"/>
                <w:sz w:val="24"/>
                <w:highlight w:val="none"/>
              </w:rPr>
              <w:t>加盖</w:t>
            </w:r>
            <w:r>
              <w:rPr>
                <w:rFonts w:hint="eastAsia" w:hAnsi="宋体" w:cs="宋体" w:asciiTheme="minorEastAsia" w:eastAsiaTheme="minorEastAsia"/>
                <w:bCs/>
                <w:color w:val="auto"/>
                <w:sz w:val="24"/>
                <w:highlight w:val="none"/>
                <w:lang w:eastAsia="zh-CN"/>
              </w:rPr>
              <w:t>供应商</w:t>
            </w:r>
            <w:r>
              <w:rPr>
                <w:rFonts w:hAnsi="宋体" w:cs="宋体" w:asciiTheme="minorEastAsia" w:eastAsiaTheme="minorEastAsia"/>
                <w:bCs/>
                <w:color w:val="auto"/>
                <w:sz w:val="24"/>
                <w:highlight w:val="none"/>
              </w:rPr>
              <w:t>公章</w:t>
            </w:r>
            <w:r>
              <w:rPr>
                <w:rFonts w:hAnsi="宋体" w:cs="宋体" w:asciiTheme="minorEastAsia" w:eastAsiaTheme="minorEastAsia"/>
                <w:bCs/>
                <w:color w:val="auto"/>
                <w:kern w:val="2"/>
                <w:sz w:val="24"/>
                <w:szCs w:val="24"/>
                <w:highlight w:val="none"/>
                <w:lang w:val="en-US" w:eastAsia="zh-CN" w:bidi="ar-SA"/>
              </w:rPr>
              <w:t>。</w:t>
            </w:r>
          </w:p>
          <w:p w14:paraId="65AF3E24">
            <w:pPr>
              <w:widowControl/>
              <w:numPr>
                <w:ilvl w:val="0"/>
                <w:numId w:val="0"/>
              </w:numPr>
              <w:jc w:val="left"/>
              <w:rPr>
                <w:rFonts w:hint="default" w:hAnsi="宋体" w:cs="宋体" w:asciiTheme="minorEastAsia" w:eastAsiaTheme="minorEastAsia"/>
                <w:bCs/>
                <w:color w:val="auto"/>
                <w:kern w:val="2"/>
                <w:sz w:val="24"/>
                <w:szCs w:val="24"/>
                <w:highlight w:val="none"/>
                <w:lang w:val="en-US" w:eastAsia="zh-CN" w:bidi="ar-SA"/>
              </w:rPr>
            </w:pPr>
            <w:r>
              <w:rPr>
                <w:rFonts w:hint="eastAsia" w:hAnsi="宋体" w:cs="宋体" w:asciiTheme="minorEastAsia" w:eastAsiaTheme="minorEastAsia"/>
                <w:bCs/>
                <w:color w:val="auto"/>
                <w:kern w:val="2"/>
                <w:sz w:val="24"/>
                <w:szCs w:val="24"/>
                <w:highlight w:val="none"/>
                <w:lang w:val="en-US" w:eastAsia="zh-CN" w:bidi="ar-SA"/>
              </w:rPr>
              <w:t>2.</w:t>
            </w:r>
            <w:r>
              <w:rPr>
                <w:rFonts w:hAnsi="宋体" w:cs="宋体" w:asciiTheme="minorEastAsia" w:eastAsiaTheme="minorEastAsia"/>
                <w:bCs/>
                <w:color w:val="auto"/>
                <w:kern w:val="2"/>
                <w:sz w:val="24"/>
                <w:szCs w:val="24"/>
                <w:highlight w:val="none"/>
                <w:lang w:val="en-US" w:eastAsia="zh-CN" w:bidi="ar-SA"/>
              </w:rPr>
              <w:t>未提供或者提供的资料不符合要求的不得分。</w:t>
            </w:r>
          </w:p>
        </w:tc>
        <w:tc>
          <w:tcPr>
            <w:tcW w:w="700" w:type="dxa"/>
            <w:vAlign w:val="center"/>
          </w:tcPr>
          <w:p w14:paraId="07F5391F">
            <w:pPr>
              <w:rPr>
                <w:rFonts w:hint="default" w:eastAsia="宋体"/>
                <w:color w:val="auto"/>
                <w:highlight w:val="none"/>
                <w:lang w:val="en-US" w:eastAsia="zh-CN"/>
              </w:rPr>
            </w:pPr>
            <w:r>
              <w:rPr>
                <w:rFonts w:hint="eastAsia" w:ascii="宋体" w:hAnsi="宋体" w:cs="宋体"/>
                <w:color w:val="auto"/>
                <w:sz w:val="24"/>
                <w:highlight w:val="none"/>
                <w:lang w:val="en-US" w:eastAsia="zh-CN"/>
              </w:rPr>
              <w:t>15分</w:t>
            </w:r>
          </w:p>
        </w:tc>
      </w:tr>
      <w:tr w14:paraId="6FB23C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62" w:hRule="atLeast"/>
          <w:jc w:val="center"/>
        </w:trPr>
        <w:tc>
          <w:tcPr>
            <w:tcW w:w="1773" w:type="dxa"/>
            <w:gridSpan w:val="2"/>
            <w:vAlign w:val="center"/>
          </w:tcPr>
          <w:p w14:paraId="481FEFC6">
            <w:pPr>
              <w:widowControl/>
              <w:jc w:val="center"/>
              <w:rPr>
                <w:rFonts w:hint="eastAsia" w:ascii="宋体" w:hAnsi="宋体" w:eastAsia="宋体" w:cs="宋体"/>
                <w:sz w:val="24"/>
                <w:highlight w:val="none"/>
              </w:rPr>
            </w:pPr>
            <w:r>
              <w:rPr>
                <w:rFonts w:hint="eastAsia" w:ascii="宋体" w:hAnsi="宋体" w:eastAsia="宋体" w:cs="宋体"/>
                <w:sz w:val="24"/>
                <w:highlight w:val="none"/>
              </w:rPr>
              <w:t>经济价格</w:t>
            </w:r>
          </w:p>
          <w:p w14:paraId="5753DE92">
            <w:pPr>
              <w:widowControl/>
              <w:jc w:val="center"/>
              <w:rPr>
                <w:rFonts w:hint="default" w:ascii="宋体" w:hAnsi="宋体" w:eastAsia="宋体" w:cs="宋体"/>
                <w:b/>
                <w:color w:val="auto"/>
                <w:kern w:val="0"/>
                <w:sz w:val="24"/>
                <w:highlight w:val="none"/>
                <w:lang w:val="en-US" w:eastAsia="zh-CN"/>
              </w:rPr>
            </w:pPr>
            <w:r>
              <w:rPr>
                <w:rFonts w:hint="eastAsia" w:ascii="宋体" w:hAnsi="宋体" w:cs="宋体"/>
                <w:sz w:val="24"/>
                <w:highlight w:val="none"/>
                <w:lang w:val="en-US" w:eastAsia="zh-CN"/>
              </w:rPr>
              <w:t>10分</w:t>
            </w:r>
          </w:p>
        </w:tc>
        <w:tc>
          <w:tcPr>
            <w:tcW w:w="6598" w:type="dxa"/>
            <w:vAlign w:val="bottom"/>
          </w:tcPr>
          <w:p w14:paraId="78568356">
            <w:pPr>
              <w:widowControl/>
              <w:spacing w:line="240" w:lineRule="auto"/>
              <w:ind w:firstLine="0" w:firstLineChars="0"/>
              <w:jc w:val="both"/>
              <w:rPr>
                <w:rFonts w:hint="eastAsia" w:ascii="宋体" w:hAnsi="宋体" w:eastAsia="宋体" w:cs="宋体"/>
                <w:sz w:val="24"/>
                <w:highlight w:val="none"/>
              </w:rPr>
            </w:pPr>
            <w:r>
              <w:rPr>
                <w:rFonts w:hint="eastAsia" w:ascii="宋体" w:hAnsi="宋体" w:eastAsia="宋体" w:cs="宋体"/>
                <w:sz w:val="24"/>
                <w:highlight w:val="none"/>
              </w:rPr>
              <w:t>经济价格标得分=(评标基准价/</w:t>
            </w:r>
            <w:r>
              <w:rPr>
                <w:rFonts w:hint="eastAsia" w:ascii="宋体" w:hAnsi="宋体" w:eastAsia="宋体" w:cs="宋体"/>
                <w:sz w:val="24"/>
                <w:szCs w:val="24"/>
                <w:highlight w:val="none"/>
              </w:rPr>
              <w:t>评标价</w:t>
            </w:r>
            <w:r>
              <w:rPr>
                <w:rFonts w:hint="eastAsia" w:ascii="宋体" w:hAnsi="宋体" w:eastAsia="宋体" w:cs="宋体"/>
                <w:sz w:val="24"/>
                <w:highlight w:val="none"/>
              </w:rPr>
              <w:t>)×10%×100</w:t>
            </w:r>
          </w:p>
          <w:p w14:paraId="55F6505D">
            <w:pPr>
              <w:widowControl/>
              <w:spacing w:line="240" w:lineRule="auto"/>
              <w:ind w:firstLine="0" w:firstLineChars="0"/>
              <w:jc w:val="both"/>
              <w:rPr>
                <w:rFonts w:hint="eastAsia" w:ascii="宋体" w:hAnsi="宋体" w:eastAsia="宋体" w:cs="宋体"/>
                <w:color w:val="auto"/>
                <w:kern w:val="0"/>
                <w:sz w:val="24"/>
                <w:highlight w:val="none"/>
              </w:rPr>
            </w:pPr>
            <w:r>
              <w:rPr>
                <w:rFonts w:hint="eastAsia" w:ascii="宋体" w:hAnsi="宋体" w:eastAsia="宋体" w:cs="宋体"/>
                <w:sz w:val="24"/>
                <w:highlight w:val="none"/>
              </w:rPr>
              <w:t>上述公式中的“评标基准价”是指满足项目需求书要求的最低评标价，其价格得分为满分。评标价为在报价基础上作算术修正后的价格，无算术修正情况下，报价即为评标价。</w:t>
            </w:r>
          </w:p>
        </w:tc>
        <w:tc>
          <w:tcPr>
            <w:tcW w:w="700" w:type="dxa"/>
            <w:vAlign w:val="center"/>
          </w:tcPr>
          <w:p w14:paraId="20F0D769">
            <w:pPr>
              <w:widowControl/>
              <w:jc w:val="center"/>
              <w:rPr>
                <w:rFonts w:ascii="宋体" w:cs="宋体"/>
                <w:color w:val="auto"/>
                <w:kern w:val="0"/>
                <w:sz w:val="24"/>
                <w:highlight w:val="none"/>
              </w:rPr>
            </w:pPr>
            <w:r>
              <w:rPr>
                <w:rFonts w:hint="eastAsia" w:ascii="宋体" w:hAnsi="宋体" w:cs="宋体"/>
                <w:color w:val="auto"/>
                <w:kern w:val="0"/>
                <w:sz w:val="24"/>
                <w:highlight w:val="none"/>
              </w:rPr>
              <w:t>10分</w:t>
            </w:r>
          </w:p>
        </w:tc>
      </w:tr>
      <w:tr w14:paraId="35C33D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62" w:hRule="atLeast"/>
          <w:jc w:val="center"/>
        </w:trPr>
        <w:tc>
          <w:tcPr>
            <w:tcW w:w="8371" w:type="dxa"/>
            <w:gridSpan w:val="3"/>
            <w:vAlign w:val="center"/>
          </w:tcPr>
          <w:p w14:paraId="4473E775">
            <w:pPr>
              <w:widowControl/>
              <w:ind w:firstLine="482" w:firstLineChars="200"/>
              <w:jc w:val="center"/>
              <w:rPr>
                <w:rFonts w:ascii="宋体" w:hAnsi="宋体"/>
                <w:color w:val="auto"/>
                <w:sz w:val="24"/>
                <w:highlight w:val="none"/>
              </w:rPr>
            </w:pPr>
            <w:r>
              <w:rPr>
                <w:rFonts w:hint="eastAsia" w:ascii="宋体" w:hAnsi="宋体" w:cs="宋体"/>
                <w:b/>
                <w:color w:val="auto"/>
                <w:kern w:val="0"/>
                <w:sz w:val="24"/>
                <w:highlight w:val="none"/>
              </w:rPr>
              <w:t>合计</w:t>
            </w:r>
          </w:p>
        </w:tc>
        <w:tc>
          <w:tcPr>
            <w:tcW w:w="700" w:type="dxa"/>
            <w:vAlign w:val="center"/>
          </w:tcPr>
          <w:p w14:paraId="67A31467">
            <w:pPr>
              <w:widowControl/>
              <w:jc w:val="center"/>
              <w:rPr>
                <w:rFonts w:ascii="宋体" w:hAnsi="宋体" w:cs="宋体"/>
                <w:color w:val="auto"/>
                <w:kern w:val="0"/>
                <w:sz w:val="24"/>
                <w:highlight w:val="none"/>
              </w:rPr>
            </w:pPr>
            <w:r>
              <w:rPr>
                <w:rFonts w:hint="eastAsia" w:ascii="宋体" w:hAnsi="宋体" w:cs="宋体"/>
                <w:b/>
                <w:color w:val="auto"/>
                <w:kern w:val="0"/>
                <w:sz w:val="24"/>
                <w:highlight w:val="none"/>
              </w:rPr>
              <w:t>100分</w:t>
            </w:r>
          </w:p>
        </w:tc>
      </w:tr>
    </w:tbl>
    <w:p w14:paraId="0F200F2B">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1" w:fontKey="{042C0077-CC8C-4D0F-98BF-030BBB8665BA}"/>
  </w:font>
  <w:font w:name="仿宋">
    <w:panose1 w:val="02010609060101010101"/>
    <w:charset w:val="86"/>
    <w:family w:val="auto"/>
    <w:pitch w:val="default"/>
    <w:sig w:usb0="800002BF" w:usb1="38CF7CFA" w:usb2="00000016" w:usb3="00000000" w:csb0="00040001" w:csb1="00000000"/>
    <w:embedRegular r:id="rId2" w:fontKey="{6EB94F1C-AA06-49BB-91AA-9FF605215825}"/>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embedRegular r:id="rId3" w:fontKey="{B641086B-804E-4421-99BF-C903D4D7190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D9AB7"/>
    <w:multiLevelType w:val="singleLevel"/>
    <w:tmpl w:val="80DD9AB7"/>
    <w:lvl w:ilvl="0" w:tentative="0">
      <w:start w:val="3"/>
      <w:numFmt w:val="chineseCounting"/>
      <w:suff w:val="nothing"/>
      <w:lvlText w:val="（%1）"/>
      <w:lvlJc w:val="left"/>
      <w:rPr>
        <w:rFonts w:hint="eastAsia"/>
      </w:rPr>
    </w:lvl>
  </w:abstractNum>
  <w:abstractNum w:abstractNumId="1">
    <w:nsid w:val="B5603396"/>
    <w:multiLevelType w:val="singleLevel"/>
    <w:tmpl w:val="B5603396"/>
    <w:lvl w:ilvl="0" w:tentative="0">
      <w:start w:val="1"/>
      <w:numFmt w:val="decimal"/>
      <w:lvlText w:val="%1."/>
      <w:lvlJc w:val="left"/>
      <w:pPr>
        <w:tabs>
          <w:tab w:val="left" w:pos="312"/>
        </w:tabs>
      </w:pPr>
    </w:lvl>
  </w:abstractNum>
  <w:abstractNum w:abstractNumId="2">
    <w:nsid w:val="C1FF70B1"/>
    <w:multiLevelType w:val="singleLevel"/>
    <w:tmpl w:val="C1FF70B1"/>
    <w:lvl w:ilvl="0" w:tentative="0">
      <w:start w:val="1"/>
      <w:numFmt w:val="decimal"/>
      <w:lvlText w:val="%1."/>
      <w:lvlJc w:val="left"/>
      <w:pPr>
        <w:tabs>
          <w:tab w:val="left" w:pos="312"/>
        </w:tabs>
      </w:pPr>
      <w:rPr>
        <w:rFonts w:hint="default"/>
        <w:sz w:val="28"/>
        <w:szCs w:val="28"/>
      </w:rPr>
    </w:lvl>
  </w:abstractNum>
  <w:abstractNum w:abstractNumId="3">
    <w:nsid w:val="F0AEE0E0"/>
    <w:multiLevelType w:val="singleLevel"/>
    <w:tmpl w:val="F0AEE0E0"/>
    <w:lvl w:ilvl="0" w:tentative="0">
      <w:start w:val="1"/>
      <w:numFmt w:val="decimal"/>
      <w:lvlText w:val="%1."/>
      <w:lvlJc w:val="left"/>
      <w:pPr>
        <w:tabs>
          <w:tab w:val="left" w:pos="312"/>
        </w:tabs>
      </w:pPr>
    </w:lvl>
  </w:abstractNum>
  <w:abstractNum w:abstractNumId="4">
    <w:nsid w:val="266D097E"/>
    <w:multiLevelType w:val="singleLevel"/>
    <w:tmpl w:val="266D097E"/>
    <w:lvl w:ilvl="0" w:tentative="0">
      <w:start w:val="1"/>
      <w:numFmt w:val="decimal"/>
      <w:lvlText w:val="%1."/>
      <w:lvlJc w:val="left"/>
      <w:pPr>
        <w:tabs>
          <w:tab w:val="left" w:pos="312"/>
        </w:tabs>
      </w:pPr>
    </w:lvl>
  </w:abstractNum>
  <w:abstractNum w:abstractNumId="5">
    <w:nsid w:val="3F8ED28A"/>
    <w:multiLevelType w:val="singleLevel"/>
    <w:tmpl w:val="3F8ED28A"/>
    <w:lvl w:ilvl="0" w:tentative="0">
      <w:start w:val="1"/>
      <w:numFmt w:val="decimal"/>
      <w:lvlText w:val="%1."/>
      <w:lvlJc w:val="left"/>
      <w:pPr>
        <w:tabs>
          <w:tab w:val="left" w:pos="312"/>
        </w:tabs>
      </w:pPr>
    </w:lvl>
  </w:abstractNum>
  <w:abstractNum w:abstractNumId="6">
    <w:nsid w:val="429E33B3"/>
    <w:multiLevelType w:val="singleLevel"/>
    <w:tmpl w:val="429E33B3"/>
    <w:lvl w:ilvl="0" w:tentative="0">
      <w:start w:val="1"/>
      <w:numFmt w:val="decimal"/>
      <w:lvlText w:val="%1."/>
      <w:lvlJc w:val="left"/>
      <w:pPr>
        <w:tabs>
          <w:tab w:val="left" w:pos="312"/>
        </w:tabs>
      </w:pPr>
    </w:lvl>
  </w:abstractNum>
  <w:abstractNum w:abstractNumId="7">
    <w:nsid w:val="63BDC1A8"/>
    <w:multiLevelType w:val="singleLevel"/>
    <w:tmpl w:val="63BDC1A8"/>
    <w:lvl w:ilvl="0" w:tentative="0">
      <w:start w:val="1"/>
      <w:numFmt w:val="decimal"/>
      <w:lvlText w:val="%1."/>
      <w:lvlJc w:val="left"/>
      <w:pPr>
        <w:tabs>
          <w:tab w:val="left" w:pos="312"/>
        </w:tabs>
      </w:pPr>
    </w:lvl>
  </w:abstractNum>
  <w:abstractNum w:abstractNumId="8">
    <w:nsid w:val="7B0B7CC9"/>
    <w:multiLevelType w:val="singleLevel"/>
    <w:tmpl w:val="7B0B7CC9"/>
    <w:lvl w:ilvl="0" w:tentative="0">
      <w:start w:val="1"/>
      <w:numFmt w:val="decimal"/>
      <w:lvlText w:val="%1."/>
      <w:lvlJc w:val="left"/>
      <w:pPr>
        <w:tabs>
          <w:tab w:val="left" w:pos="312"/>
        </w:tabs>
      </w:pPr>
    </w:lvl>
  </w:abstractNum>
  <w:num w:numId="1">
    <w:abstractNumId w:val="0"/>
  </w:num>
  <w:num w:numId="2">
    <w:abstractNumId w:val="5"/>
  </w:num>
  <w:num w:numId="3">
    <w:abstractNumId w:val="4"/>
  </w:num>
  <w:num w:numId="4">
    <w:abstractNumId w:val="6"/>
  </w:num>
  <w:num w:numId="5">
    <w:abstractNumId w:val="3"/>
  </w:num>
  <w:num w:numId="6">
    <w:abstractNumId w:val="8"/>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5ZGQ5ZWQ1MmJhMGZkNmYwMjg3MjM4MGI4MGE3YjQifQ=="/>
  </w:docVars>
  <w:rsids>
    <w:rsidRoot w:val="003E1BC6"/>
    <w:rsid w:val="0003128E"/>
    <w:rsid w:val="0009042A"/>
    <w:rsid w:val="0028314E"/>
    <w:rsid w:val="002B54BD"/>
    <w:rsid w:val="002E2BD5"/>
    <w:rsid w:val="00337B89"/>
    <w:rsid w:val="003E1BC6"/>
    <w:rsid w:val="006B35A9"/>
    <w:rsid w:val="00895A90"/>
    <w:rsid w:val="00AA0807"/>
    <w:rsid w:val="00C700A0"/>
    <w:rsid w:val="00E03349"/>
    <w:rsid w:val="00E644AA"/>
    <w:rsid w:val="00E7485E"/>
    <w:rsid w:val="00E93D2B"/>
    <w:rsid w:val="00EE26C3"/>
    <w:rsid w:val="00F95587"/>
    <w:rsid w:val="00FA6FC3"/>
    <w:rsid w:val="02B372B1"/>
    <w:rsid w:val="02BC028B"/>
    <w:rsid w:val="043A4B29"/>
    <w:rsid w:val="04C94AE8"/>
    <w:rsid w:val="05BC2DF7"/>
    <w:rsid w:val="0609518E"/>
    <w:rsid w:val="06147E59"/>
    <w:rsid w:val="0719073F"/>
    <w:rsid w:val="07D337E6"/>
    <w:rsid w:val="084F532E"/>
    <w:rsid w:val="088864F1"/>
    <w:rsid w:val="09E2314B"/>
    <w:rsid w:val="0A00720C"/>
    <w:rsid w:val="0A840B51"/>
    <w:rsid w:val="0AED39FD"/>
    <w:rsid w:val="0B105ABE"/>
    <w:rsid w:val="0B3F6E6A"/>
    <w:rsid w:val="0C3436F1"/>
    <w:rsid w:val="0C4B01DE"/>
    <w:rsid w:val="0D1809B4"/>
    <w:rsid w:val="0D643714"/>
    <w:rsid w:val="0E101ECB"/>
    <w:rsid w:val="0FEC310E"/>
    <w:rsid w:val="10701B06"/>
    <w:rsid w:val="10E82A49"/>
    <w:rsid w:val="11C52F37"/>
    <w:rsid w:val="11E64206"/>
    <w:rsid w:val="132C2AD0"/>
    <w:rsid w:val="14B16081"/>
    <w:rsid w:val="14F75772"/>
    <w:rsid w:val="153347AD"/>
    <w:rsid w:val="167C35DD"/>
    <w:rsid w:val="184A22E6"/>
    <w:rsid w:val="18E24DE3"/>
    <w:rsid w:val="1B895FBB"/>
    <w:rsid w:val="1BA30965"/>
    <w:rsid w:val="1BF44AA8"/>
    <w:rsid w:val="1D1A36B1"/>
    <w:rsid w:val="1D6223B1"/>
    <w:rsid w:val="1D8D0B65"/>
    <w:rsid w:val="1E0F4A61"/>
    <w:rsid w:val="1E547AF5"/>
    <w:rsid w:val="1F3C1C4F"/>
    <w:rsid w:val="1FE203E6"/>
    <w:rsid w:val="21C46C8E"/>
    <w:rsid w:val="22F07AE2"/>
    <w:rsid w:val="23C36EFD"/>
    <w:rsid w:val="240D4A36"/>
    <w:rsid w:val="24301D62"/>
    <w:rsid w:val="260F5480"/>
    <w:rsid w:val="27B21204"/>
    <w:rsid w:val="27E1537C"/>
    <w:rsid w:val="29522B80"/>
    <w:rsid w:val="295B56A9"/>
    <w:rsid w:val="29E27D80"/>
    <w:rsid w:val="2A2F7B15"/>
    <w:rsid w:val="2B8227E6"/>
    <w:rsid w:val="2C2446C9"/>
    <w:rsid w:val="2C351D6B"/>
    <w:rsid w:val="2C355BEC"/>
    <w:rsid w:val="2C4F2D00"/>
    <w:rsid w:val="2E16582B"/>
    <w:rsid w:val="2E494C3A"/>
    <w:rsid w:val="2F650469"/>
    <w:rsid w:val="30351FA2"/>
    <w:rsid w:val="31467379"/>
    <w:rsid w:val="32142838"/>
    <w:rsid w:val="34344A31"/>
    <w:rsid w:val="34F816E9"/>
    <w:rsid w:val="35E60A17"/>
    <w:rsid w:val="35F86C9B"/>
    <w:rsid w:val="373F5829"/>
    <w:rsid w:val="3861258D"/>
    <w:rsid w:val="38C53251"/>
    <w:rsid w:val="3AC72CFB"/>
    <w:rsid w:val="3C224E19"/>
    <w:rsid w:val="3D5D5666"/>
    <w:rsid w:val="3D6F32CB"/>
    <w:rsid w:val="3E4B002B"/>
    <w:rsid w:val="3E7505FA"/>
    <w:rsid w:val="3E8D7BAE"/>
    <w:rsid w:val="3FDD0FCA"/>
    <w:rsid w:val="400C38A3"/>
    <w:rsid w:val="40B3552A"/>
    <w:rsid w:val="41905C1D"/>
    <w:rsid w:val="41B8730F"/>
    <w:rsid w:val="42B149C4"/>
    <w:rsid w:val="42F2590F"/>
    <w:rsid w:val="42FD3BF5"/>
    <w:rsid w:val="4389705D"/>
    <w:rsid w:val="455C6BD8"/>
    <w:rsid w:val="48BA78DE"/>
    <w:rsid w:val="49BF3909"/>
    <w:rsid w:val="4A1037A4"/>
    <w:rsid w:val="4A1F4C27"/>
    <w:rsid w:val="4BEA2F99"/>
    <w:rsid w:val="4C022BD4"/>
    <w:rsid w:val="4C421AD5"/>
    <w:rsid w:val="4C8F3727"/>
    <w:rsid w:val="4CB9236D"/>
    <w:rsid w:val="4D095DD5"/>
    <w:rsid w:val="4D1304F3"/>
    <w:rsid w:val="4DBB5413"/>
    <w:rsid w:val="4EC77ECE"/>
    <w:rsid w:val="50C15018"/>
    <w:rsid w:val="50E147A9"/>
    <w:rsid w:val="54E0147B"/>
    <w:rsid w:val="554738F5"/>
    <w:rsid w:val="55DF63F2"/>
    <w:rsid w:val="563B5CFE"/>
    <w:rsid w:val="57001A8F"/>
    <w:rsid w:val="5A091C1B"/>
    <w:rsid w:val="5A736072"/>
    <w:rsid w:val="5ADC5520"/>
    <w:rsid w:val="5C655CC7"/>
    <w:rsid w:val="5DE33199"/>
    <w:rsid w:val="5DF43534"/>
    <w:rsid w:val="5E1901E8"/>
    <w:rsid w:val="5E28592B"/>
    <w:rsid w:val="5F0F7504"/>
    <w:rsid w:val="5F7217A7"/>
    <w:rsid w:val="60733548"/>
    <w:rsid w:val="609E13D9"/>
    <w:rsid w:val="611D52B9"/>
    <w:rsid w:val="62743F92"/>
    <w:rsid w:val="62A17620"/>
    <w:rsid w:val="640A778A"/>
    <w:rsid w:val="64F83009"/>
    <w:rsid w:val="653A5A1F"/>
    <w:rsid w:val="67414139"/>
    <w:rsid w:val="67477040"/>
    <w:rsid w:val="67737C48"/>
    <w:rsid w:val="67ED3E90"/>
    <w:rsid w:val="68950C0F"/>
    <w:rsid w:val="68B74A5D"/>
    <w:rsid w:val="691E30AE"/>
    <w:rsid w:val="6D3D73C4"/>
    <w:rsid w:val="6EA64798"/>
    <w:rsid w:val="6F7B45F0"/>
    <w:rsid w:val="6FBA64A2"/>
    <w:rsid w:val="6FC92FA9"/>
    <w:rsid w:val="6FD825B3"/>
    <w:rsid w:val="702B429A"/>
    <w:rsid w:val="7198256C"/>
    <w:rsid w:val="72CD12E4"/>
    <w:rsid w:val="72D02269"/>
    <w:rsid w:val="74707796"/>
    <w:rsid w:val="75AC482C"/>
    <w:rsid w:val="75DC2A43"/>
    <w:rsid w:val="77342089"/>
    <w:rsid w:val="7859436A"/>
    <w:rsid w:val="79157FF1"/>
    <w:rsid w:val="79587019"/>
    <w:rsid w:val="79A453E0"/>
    <w:rsid w:val="79DC01FD"/>
    <w:rsid w:val="7A446928"/>
    <w:rsid w:val="7ACC3AB5"/>
    <w:rsid w:val="7AF6674C"/>
    <w:rsid w:val="7B70689C"/>
    <w:rsid w:val="7C47519E"/>
    <w:rsid w:val="7F514A2E"/>
    <w:rsid w:val="7F716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9"/>
    <w:pPr>
      <w:keepNext/>
      <w:keepLines/>
      <w:tabs>
        <w:tab w:val="left" w:pos="567"/>
      </w:tabs>
      <w:spacing w:before="260" w:after="260" w:line="413" w:lineRule="auto"/>
      <w:ind w:left="992" w:hanging="567"/>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index 4"/>
    <w:basedOn w:val="1"/>
    <w:next w:val="1"/>
    <w:unhideWhenUsed/>
    <w:qFormat/>
    <w:uiPriority w:val="99"/>
    <w:pPr>
      <w:ind w:left="600" w:leftChars="600"/>
    </w:pPr>
    <w:rPr>
      <w:rFonts w:hint="eastAsia"/>
    </w:rPr>
  </w:style>
  <w:style w:type="paragraph" w:styleId="6">
    <w:name w:val="Plain Text"/>
    <w:basedOn w:val="1"/>
    <w:unhideWhenUsed/>
    <w:qFormat/>
    <w:uiPriority w:val="0"/>
    <w:rPr>
      <w:rFonts w:hAnsi="Courier New" w:cs="Courier New" w:asciiTheme="minorEastAsia" w:eastAsiaTheme="minorEastAsia"/>
    </w:rPr>
  </w:style>
  <w:style w:type="paragraph" w:styleId="7">
    <w:name w:val="Body Text Indent 2"/>
    <w:qFormat/>
    <w:uiPriority w:val="0"/>
    <w:pPr>
      <w:widowControl w:val="0"/>
      <w:spacing w:line="480" w:lineRule="exact"/>
      <w:ind w:left="810" w:firstLine="675"/>
      <w:jc w:val="both"/>
    </w:pPr>
    <w:rPr>
      <w:rFonts w:ascii="Calibri" w:hAnsi="Calibri" w:eastAsia="仿宋_GB2312" w:cs="Times New Roman"/>
      <w:kern w:val="2"/>
      <w:sz w:val="30"/>
      <w:lang w:val="en-US" w:eastAsia="zh-CN" w:bidi="ar-SA"/>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link w:val="16"/>
    <w:qFormat/>
    <w:uiPriority w:val="0"/>
    <w:pPr>
      <w:tabs>
        <w:tab w:val="center" w:pos="4153"/>
        <w:tab w:val="right" w:pos="8306"/>
      </w:tabs>
      <w:snapToGrid w:val="0"/>
      <w:jc w:val="center"/>
    </w:pPr>
    <w:rPr>
      <w:sz w:val="18"/>
      <w:szCs w:val="18"/>
    </w:rPr>
  </w:style>
  <w:style w:type="paragraph" w:styleId="10">
    <w:name w:val="toc 2"/>
    <w:basedOn w:val="1"/>
    <w:next w:val="1"/>
    <w:qFormat/>
    <w:uiPriority w:val="0"/>
    <w:pPr>
      <w:ind w:left="200" w:leftChars="200"/>
    </w:pPr>
  </w:style>
  <w:style w:type="character" w:styleId="13">
    <w:name w:val="Strong"/>
    <w:basedOn w:val="12"/>
    <w:qFormat/>
    <w:uiPriority w:val="0"/>
    <w:rPr>
      <w:b/>
    </w:rPr>
  </w:style>
  <w:style w:type="character" w:customStyle="1" w:styleId="14">
    <w:name w:val="15"/>
    <w:basedOn w:val="12"/>
    <w:qFormat/>
    <w:uiPriority w:val="0"/>
    <w:rPr>
      <w:rFonts w:hint="default" w:ascii="Times New Roman" w:hAnsi="Times New Roman" w:eastAsia="宋体" w:cs="Times New Roman"/>
    </w:rPr>
  </w:style>
  <w:style w:type="paragraph" w:customStyle="1" w:styleId="15">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6">
    <w:name w:val="页眉 字符"/>
    <w:basedOn w:val="12"/>
    <w:link w:val="9"/>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83fef828-a5d7-4d35-b1ec-2f4ebd94788b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4CDEEBF4</paraID>
      <start>64</start>
      <end>65</end>
      <status>unmodified</status>
      <modifiedWord/>
      <trackRevisions>false</trackRevisions>
    </reviewItem>
    <reviewItem>
      <errorID>9bc37321-559b-4f8a-af46-bc003630a08b</errorID>
      <errorWord>：</errorWord>
      <group>L1_Punc</group>
      <groupName>标点问题</groupName>
      <ability>L2_Punc_CN</ability>
      <abilityName>标点符号问题</abilityName>
      <candidateList>
        <item>”。</item>
      </candidateList>
      <explain/>
      <paraID>4CDEEBF4</paraID>
      <start>142</start>
      <end>143</end>
      <status>unmodified</status>
      <modifiedWord/>
      <trackRevisions>false</trackRevisions>
    </reviewItem>
    <reviewItem>
      <errorID>c5ca45a9-2543-411d-a4e5-6aa68f90c3d8</errorID>
      <errorWord>提供的</errorWord>
      <group>L1_Word</group>
      <groupName>字词问题</groupName>
      <ability>L2_Typo</ability>
      <abilityName>字词错误</abilityName>
      <candidateList>
        <item>提供</item>
      </candidateList>
      <explain/>
      <paraID>3050FB99</paraID>
      <start>19</start>
      <end>22</end>
      <status>unmodified</status>
      <modifiedWord/>
      <trackRevisions>false</trackRevisions>
    </reviewItem>
    <reviewItem>
      <errorID>50f2370a-0d0d-40fd-9328-2682b0346cd5</errorID>
      <errorWord> </errorWord>
      <group>L1_Punc</group>
      <groupName>标点问题</groupName>
      <ability>L2_Punc_CN</ability>
      <abilityName>标点符号问题</abilityName>
      <candidateList>
        <item/>
      </candidateList>
      <explain>此处空格冗余，建议删除。</explain>
      <paraID>3050FB99</paraID>
      <start>25</start>
      <end>26</end>
      <status>unmodified</status>
      <modifiedWord/>
      <trackRevisions>false</trackRevisions>
    </reviewItem>
    <reviewItem>
      <errorID>901d3bf5-d4eb-435d-a9fd-d8da4f1422a8</errorID>
      <errorWord>：</errorWord>
      <group>L1_Punc</group>
      <groupName>标点问题</groupName>
      <ability>L2_Punc_CN</ability>
      <abilityName>标点符号问题</abilityName>
      <candidateList>
        <item>。</item>
      </candidateList>
      <explain/>
      <paraID>5578D61F</paraID>
      <start>89</start>
      <end>90</end>
      <status>unmodified</status>
      <modifiedWord/>
      <trackRevisions>false</trackRevisions>
    </reviewItem>
    <reviewItem>
      <errorID>d546b5c2-a61b-4d1e-85b2-3287da792dfb</errorID>
      <errorWord>：</errorWord>
      <group>L1_Punc</group>
      <groupName>标点问题</groupName>
      <ability>L2_Punc_CN</ability>
      <abilityName>标点符号问题</abilityName>
      <candidateList>
        <item>。</item>
      </candidateList>
      <explain/>
      <paraID>5ACF2D5E</paraID>
      <start>99</start>
      <end>100</end>
      <status>unmodified</status>
      <modifiedWord/>
      <trackRevisions>false</trackRevisions>
    </reviewItem>
    <reviewItem>
      <errorID>1a943c16-821f-44be-86b8-1dd140f1fc75</errorID>
      <errorWord>：</errorWord>
      <group>L1_Punc</group>
      <groupName>标点问题</groupName>
      <ability>L2_Punc_CN</ability>
      <abilityName>标点符号问题</abilityName>
      <candidateList>
        <item>。</item>
      </candidateList>
      <explain/>
      <paraID>1FEB33F5</paraID>
      <start>94</start>
      <end>95</end>
      <status>unmodified</status>
      <modifiedWord/>
      <trackRevisions>false</trackRevisions>
    </reviewItem>
    <reviewItem>
      <errorID>85c66357-e50d-4e25-adf3-1b0155b3bd8a</errorID>
      <errorWord>，</errorWord>
      <group>L1_Punc</group>
      <groupName>标点问题</groupName>
      <ability>L2_Punc_CN</ability>
      <abilityName>标点符号问题</abilityName>
      <candidateList>
        <item>。</item>
      </candidateList>
      <explain/>
      <paraID> 46A9AA9</paraID>
      <start>50</start>
      <end>51</end>
      <status>unmodified</status>
      <modifiedWord/>
      <trackRevisions>false</trackRevisions>
    </reviewItem>
    <reviewItem>
      <errorID>15608ac1-355c-4ae8-b9ba-8bcdf64a4313</errorID>
      <errorWord>，</errorWord>
      <group>L1_Punc</group>
      <groupName>标点问题</groupName>
      <ability>L2_Punc_CN</ability>
      <abilityName>标点符号问题</abilityName>
      <candidateList>
        <item>。</item>
      </candidateList>
      <explain/>
      <paraID>36E204E7</paraID>
      <start>43</start>
      <end>44</end>
      <status>unmodified</status>
      <modifiedWord/>
      <trackRevisions>false</trackRevisions>
    </reviewItem>
    <reviewItem>
      <errorID>1a4a9573-4065-4485-8cc4-df72fe237357</errorID>
      <errorWord>，</errorWord>
      <group>L1_Punc</group>
      <groupName>标点问题</groupName>
      <ability>L2_Punc_CN</ability>
      <abilityName>标点符号问题</abilityName>
      <candidateList>
        <item>。</item>
      </candidateList>
      <explain/>
      <paraID>16E9322E</paraID>
      <start>47</start>
      <end>48</end>
      <status>unmodified</status>
      <modifiedWord/>
      <trackRevisions>false</trackRevisions>
    </reviewItem>
    <reviewItem>
      <errorID>ab90bb20-859f-4d32-a56d-231c6df6ebdd</errorID>
      <errorWord>，</errorWord>
      <group>L1_Punc</group>
      <groupName>标点问题</groupName>
      <ability>L2_Punc_CN</ability>
      <abilityName>标点符号问题</abilityName>
      <candidateList>
        <item>。</item>
      </candidateList>
      <explain/>
      <paraID> 998521E</paraID>
      <start>44</start>
      <end>45</end>
      <status>unmodified</status>
      <modifiedWord/>
      <trackRevisions>false</trackRevisions>
    </reviewItem>
    <reviewItem>
      <errorID>9790e360-c01a-4afd-9dfe-e42f71c7c461</errorID>
      <errorWord>，</errorWord>
      <group>L1_Punc</group>
      <groupName>标点问题</groupName>
      <ability>L2_Punc_CN</ability>
      <abilityName>标点符号问题</abilityName>
      <candidateList>
        <item>。</item>
      </candidateList>
      <explain/>
      <paraID>11921457</paraID>
      <start>33</start>
      <end>34</end>
      <status>unmodified</status>
      <modifiedWord/>
      <trackRevisions>false</trackRevisions>
    </reviewItem>
    <reviewItem>
      <errorID>7f385763-fe2b-4215-8cd1-ca04b26508e3</errorID>
      <errorWord>，</errorWord>
      <group>L1_Punc</group>
      <groupName>标点问题</groupName>
      <ability>L2_Punc_CN</ability>
      <abilityName>标点符号问题</abilityName>
      <candidateList>
        <item>。</item>
      </candidateList>
      <explain/>
      <paraID> 42C0162</paraID>
      <start>42</start>
      <end>43</end>
      <status>unmodified</status>
      <modifiedWord/>
      <trackRevisions>false</trackRevisions>
    </reviewItem>
    <reviewItem>
      <errorID>82f0a0ee-569a-4422-8c55-1ff60a2fdfa9</errorID>
      <errorWord>，</errorWord>
      <group>L1_Punc</group>
      <groupName>标点问题</groupName>
      <ability>L2_Punc_CN</ability>
      <abilityName>标点符号问题</abilityName>
      <candidateList>
        <item>。</item>
      </candidateList>
      <explain/>
      <paraID>39BFE83A</paraID>
      <start>48</start>
      <end>49</end>
      <status>unmodified</status>
      <modifiedWord/>
      <trackRevisions>false</trackRevisions>
    </reviewItem>
    <reviewItem>
      <errorID>9595efa0-043e-4519-bea4-2d4c66cf20e6</errorID>
      <errorWord>部</errorWord>
      <group>L1_Word</group>
      <groupName>字词问题</groupName>
      <ability>L2_Typo</ability>
      <abilityName>字词错误</abilityName>
      <candidateList>
        <item>不</item>
      </candidateList>
      <explain/>
      <paraID> 7CBEC66</paraID>
      <start>24</start>
      <end>25</end>
      <status>unmodified</status>
      <modifiedWord/>
      <trackRevisions>false</trackRevisions>
    </reviewItem>
    <reviewItem>
      <errorID>ea22e04a-114d-4178-991c-73d2e94618b7</errorID>
      <errorWord>，</errorWord>
      <group>L1_Punc</group>
      <groupName>标点问题</groupName>
      <ability>L2_Punc_CN</ability>
      <abilityName>标点符号问题</abilityName>
      <candidateList>
        <item>。</item>
      </candidateList>
      <explain/>
      <paraID> 7CBEC66</paraID>
      <start>46</start>
      <end>47</end>
      <status>unmodified</status>
      <modifiedWord/>
      <trackRevisions>false</trackRevisions>
    </reviewItem>
    <reviewItem>
      <errorID>d9b48183-fb52-4376-8224-58237dbd8dd6</errorID>
      <errorWord>，</errorWord>
      <group>L1_Punc</group>
      <groupName>标点问题</groupName>
      <ability>L2_Punc_CN</ability>
      <abilityName>标点符号问题</abilityName>
      <candidateList>
        <item>。</item>
      </candidateList>
      <explain/>
      <paraID>4F493EDA</paraID>
      <start>27</start>
      <end>28</end>
      <status>unmodified</status>
      <modifiedWord/>
      <trackRevisions>false</trackRevisions>
    </reviewItem>
    <reviewItem>
      <errorID>2c93e9ef-8cb3-4519-83fa-2350f85fba67</errorID>
      <errorWord>，</errorWord>
      <group>L1_Punc</group>
      <groupName>标点问题</groupName>
      <ability>L2_Punc_CN</ability>
      <abilityName>标点符号问题</abilityName>
      <candidateList>
        <item>。</item>
      </candidateList>
      <explain/>
      <paraID>30C23F49</paraID>
      <start>63</start>
      <end>64</end>
      <status>unmodified</status>
      <modifiedWord/>
      <trackRevisions>false</trackRevisions>
    </reviewItem>
    <reviewItem>
      <errorID>fc009a27-cce6-4c9f-858d-36d346530e1b</errorID>
      <errorWord>，</errorWord>
      <group>L1_Punc</group>
      <groupName>标点问题</groupName>
      <ability>L2_Punc_CN</ability>
      <abilityName>标点符号问题</abilityName>
      <candidateList>
        <item>。</item>
      </candidateList>
      <explain/>
      <paraID>1BE9E982</paraID>
      <start>62</start>
      <end>63</end>
      <status>unmodified</status>
      <modifiedWord/>
      <trackRevisions>false</trackRevisions>
    </reviewItem>
    <reviewItem>
      <errorID>6ef422d0-f13c-4dde-9348-c0f2cc91a6f6</errorID>
      <errorWord>，</errorWord>
      <group>L1_Punc</group>
      <groupName>标点问题</groupName>
      <ability>L2_Punc_CN</ability>
      <abilityName>标点符号问题</abilityName>
      <candidateList>
        <item>。</item>
      </candidateList>
      <explain/>
      <paraID>225F706D</paraID>
      <start>67</start>
      <end>68</end>
      <status>unmodified</status>
      <modifiedWord/>
      <trackRevisions>false</trackRevisions>
    </reviewItem>
    <reviewItem>
      <errorID>a8047810-9a68-409b-8f78-6f2610d2aaba</errorID>
      <errorWord>，</errorWord>
      <group>L1_Punc</group>
      <groupName>标点问题</groupName>
      <ability>L2_Punc_CN</ability>
      <abilityName>标点符号问题</abilityName>
      <candidateList>
        <item>。</item>
      </candidateList>
      <explain/>
      <paraID>47A5EF87</paraID>
      <start>60</start>
      <end>61</end>
      <status>unmodified</status>
      <modifiedWord/>
      <trackRevisions>false</trackRevisions>
    </reviewItem>
    <reviewItem>
      <errorID>0aebf485-a201-494c-a739-ce05edfe5ac4</errorID>
      <errorWord>，</errorWord>
      <group>L1_Punc</group>
      <groupName>标点问题</groupName>
      <ability>L2_Punc_CN</ability>
      <abilityName>标点符号问题</abilityName>
      <candidateList>
        <item/>
      </candidateList>
      <explain/>
      <paraID>73254343</paraID>
      <start>28</start>
      <end>29</end>
      <status>unmodified</status>
      <modifiedWord/>
      <trackRevisions>false</trackRevisions>
    </reviewItem>
    <reviewItem>
      <errorID>14c5979f-c862-4784-9a44-0c4b59f66cad</errorID>
      <errorWord>，</errorWord>
      <group>L1_Grammar</group>
      <groupName>语法问题</groupName>
      <ability>L2_Grammar</ability>
      <abilityName>语法错误</abilityName>
      <candidateList>
        <item>情况，</item>
      </candidateList>
      <explain/>
      <paraID>73254343</paraID>
      <start>47</start>
      <end>48</end>
      <status>unmodified</status>
      <modifiedWord/>
      <trackRevisions>false</trackRevisions>
    </reviewItem>
    <reviewItem>
      <errorID>d9ba890f-dd91-44f1-9367-ba1826df0487</errorID>
      <errorWord>，</errorWord>
      <group>L1_Grammar</group>
      <groupName>语法问题</groupName>
      <ability>L2_Grammar</ability>
      <abilityName>语法错误</abilityName>
      <candidateList>
        <item>情况，</item>
      </candidateList>
      <explain/>
      <paraID> E5384FB</paraID>
      <start>46</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97d64b65-34f5-4a57-82ce-e7bc4a182378}">
  <ds:schemaRefs/>
</ds:datastoreItem>
</file>

<file path=docProps/app.xml><?xml version="1.0" encoding="utf-8"?>
<Properties xmlns="http://schemas.openxmlformats.org/officeDocument/2006/extended-properties" xmlns:vt="http://schemas.openxmlformats.org/officeDocument/2006/docPropsVTypes">
  <Template>Normal.dotm</Template>
  <Pages>5</Pages>
  <Words>4121</Words>
  <Characters>4207</Characters>
  <Lines>17</Lines>
  <Paragraphs>4</Paragraphs>
  <TotalTime>56</TotalTime>
  <ScaleCrop>false</ScaleCrop>
  <LinksUpToDate>false</LinksUpToDate>
  <CharactersWithSpaces>4216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2024-07-18T09:24:00Z</dcterms:created>
  <dc:creator>admin</dc:creator>
  <cp:lastModifiedBy>用户2-20260813</cp:lastModifiedBy>
  <cp:lastPrinted>2025-08-01T06:52:00Z</cp:lastPrinted>
  <dcterms:modified xsi:type="dcterms:W3CDTF">2026-08-14T01:35:21Z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21897017CD2C4A3785FC8DD4FF2CE488_13</vt:lpwstr>
  </property>
  <property fmtid="{D5CDD505-2E9C-101B-9397-08002B2CF9AE}" pid="4" name="KSOTemplateDocerSaveRecord">
    <vt:lpwstr>eyJoZGlkIjoiNGY5ZGQ5ZWQ1MmJhMGZkNmYwMjg3MjM4MGI4MGE3YjQiLCJ1c2VySWQiOiI0NTY0NDYwIn0=</vt:lpwstr>
  </property>
</Properties>
</file>