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widowControl w:val="0"/>
        <w:spacing w:beforeLines="0" w:afterLines="0" w:line="560" w:lineRule="exact"/>
        <w:jc w:val="left"/>
        <w:rPr>
          <w:rFonts w:hint="eastAsia" w:ascii="黑体" w:hAnsi="黑体" w:eastAsia="黑体" w:cs="黑体"/>
          <w:sz w:val="32"/>
          <w:szCs w:val="32"/>
          <w:highlight w:val="none"/>
          <w:lang w:val="en-US" w:eastAsia="zh-CN"/>
        </w:rPr>
      </w:pPr>
      <w:bookmarkStart w:id="0" w:name="quanwen"/>
      <w:r>
        <w:rPr>
          <w:rFonts w:hint="eastAsia" w:ascii="黑体" w:hAnsi="黑体" w:eastAsia="黑体" w:cs="黑体"/>
          <w:sz w:val="32"/>
          <w:szCs w:val="32"/>
          <w:highlight w:val="none"/>
          <w:lang w:val="en-US" w:eastAsia="zh-CN"/>
        </w:rPr>
        <w:t>附件1</w:t>
      </w:r>
    </w:p>
    <w:p>
      <w:pPr>
        <w:shd w:val="clear" w:color="auto" w:fill="auto"/>
        <w:spacing w:beforeLines="0" w:afterLines="0" w:line="600" w:lineRule="exact"/>
        <w:ind w:left="0" w:right="120" w:firstLine="0" w:firstLineChars="0"/>
        <w:jc w:val="center"/>
        <w:rPr>
          <w:rFonts w:hint="eastAsia" w:ascii="方正小标宋简体" w:hAnsi="方正小标宋简体" w:eastAsia="方正小标宋简体" w:cs="方正小标宋简体"/>
          <w:b w:val="0"/>
          <w:bCs w:val="0"/>
          <w:kern w:val="0"/>
          <w:sz w:val="36"/>
          <w:szCs w:val="36"/>
          <w:highlight w:val="none"/>
        </w:rPr>
      </w:pPr>
    </w:p>
    <w:p>
      <w:pPr>
        <w:shd w:val="clear" w:color="auto" w:fill="auto"/>
        <w:spacing w:beforeLines="0" w:afterLines="0" w:line="600" w:lineRule="exact"/>
        <w:ind w:left="0" w:right="120" w:firstLine="0" w:firstLineChars="0"/>
        <w:jc w:val="center"/>
        <w:rPr>
          <w:rFonts w:hint="eastAsia" w:ascii="方正小标宋简体" w:hAnsi="方正小标宋简体" w:eastAsia="方正小标宋简体" w:cs="方正小标宋简体"/>
          <w:b w:val="0"/>
          <w:bCs w:val="0"/>
          <w:kern w:val="0"/>
          <w:sz w:val="44"/>
          <w:szCs w:val="44"/>
          <w:highlight w:val="none"/>
        </w:rPr>
      </w:pPr>
      <w:r>
        <w:rPr>
          <w:rFonts w:hint="eastAsia" w:ascii="方正小标宋简体" w:hAnsi="方正小标宋简体" w:eastAsia="方正小标宋简体" w:cs="方正小标宋简体"/>
          <w:b w:val="0"/>
          <w:bCs w:val="0"/>
          <w:kern w:val="0"/>
          <w:sz w:val="44"/>
          <w:szCs w:val="44"/>
          <w:highlight w:val="none"/>
        </w:rPr>
        <w:t>财产保险公司资产负债管理监管指标</w:t>
      </w:r>
    </w:p>
    <w:p>
      <w:pPr>
        <w:shd w:val="clear" w:color="auto" w:fill="auto"/>
        <w:spacing w:beforeLines="0" w:afterLines="0" w:line="600" w:lineRule="exact"/>
        <w:ind w:left="0" w:right="120" w:firstLine="0" w:firstLineChars="0"/>
        <w:jc w:val="center"/>
        <w:rPr>
          <w:rFonts w:hint="eastAsia" w:ascii="方正小标宋简体" w:hAnsi="方正小标宋简体" w:eastAsia="方正小标宋简体" w:cs="方正小标宋简体"/>
          <w:b w:val="0"/>
          <w:bCs w:val="0"/>
          <w:kern w:val="0"/>
          <w:sz w:val="36"/>
          <w:szCs w:val="36"/>
          <w:highlight w:val="none"/>
        </w:rPr>
      </w:pPr>
      <w:r>
        <w:rPr>
          <w:rFonts w:hint="eastAsia" w:ascii="方正小标宋简体" w:hAnsi="方正小标宋简体" w:eastAsia="方正小标宋简体" w:cs="方正小标宋简体"/>
          <w:b w:val="0"/>
          <w:bCs w:val="0"/>
          <w:kern w:val="0"/>
          <w:sz w:val="44"/>
          <w:szCs w:val="44"/>
          <w:highlight w:val="none"/>
        </w:rPr>
        <w:t>和监测指标</w:t>
      </w:r>
    </w:p>
    <w:p>
      <w:pPr>
        <w:shd w:val="clear" w:color="auto" w:fill="auto"/>
        <w:spacing w:beforeLines="0" w:afterLines="0" w:line="600" w:lineRule="exact"/>
        <w:ind w:left="0" w:right="120" w:firstLine="0" w:firstLineChars="0"/>
        <w:jc w:val="center"/>
        <w:rPr>
          <w:rFonts w:hint="eastAsia" w:ascii="方正小标宋简体" w:hAnsi="方正小标宋简体" w:eastAsia="方正小标宋简体" w:cs="方正小标宋简体"/>
          <w:b w:val="0"/>
          <w:bCs w:val="0"/>
          <w:kern w:val="0"/>
          <w:sz w:val="36"/>
          <w:szCs w:val="36"/>
          <w:highlight w:val="none"/>
        </w:rPr>
      </w:pPr>
    </w:p>
    <w:p>
      <w:pPr>
        <w:pStyle w:val="9"/>
        <w:keepNext w:val="0"/>
        <w:keepLines w:val="0"/>
        <w:pageBreakBefore w:val="0"/>
        <w:widowControl w:val="0"/>
        <w:kinsoku/>
        <w:wordWrap/>
        <w:overflowPunct/>
        <w:topLinePunct w:val="0"/>
        <w:autoSpaceDE/>
        <w:autoSpaceDN/>
        <w:bidi w:val="0"/>
        <w:adjustRightInd w:val="0"/>
        <w:snapToGrid/>
        <w:spacing w:beforeLines="0" w:afterLines="0" w:line="580" w:lineRule="exact"/>
        <w:ind w:left="0" w:firstLine="640" w:firstLineChars="200"/>
        <w:contextualSpacing/>
        <w:textAlignment w:val="auto"/>
        <w:outlineLvl w:val="1"/>
        <w:rPr>
          <w:rFonts w:ascii="黑体" w:hAnsi="黑体" w:eastAsia="黑体" w:cs="黑体"/>
          <w:bCs/>
          <w:sz w:val="32"/>
          <w:szCs w:val="32"/>
          <w:highlight w:val="none"/>
        </w:rPr>
      </w:pPr>
      <w:r>
        <w:rPr>
          <w:rFonts w:hint="eastAsia" w:ascii="黑体" w:hAnsi="黑体" w:eastAsia="黑体" w:cs="黑体"/>
          <w:bCs/>
          <w:sz w:val="32"/>
          <w:szCs w:val="32"/>
          <w:highlight w:val="none"/>
        </w:rPr>
        <w:t>一、监管指标</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_GB2312" w:hAnsi="楷体_GB2312" w:eastAsia="楷体_GB2312" w:cs="楷体_GB2312"/>
          <w:b w:val="0"/>
          <w:bCs w:val="0"/>
          <w:sz w:val="32"/>
          <w:szCs w:val="32"/>
          <w:highlight w:val="none"/>
          <w:lang w:val="en-GB"/>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一</w:t>
      </w: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沉淀资金</w:t>
      </w:r>
      <w:r>
        <w:rPr>
          <w:rFonts w:hint="eastAsia" w:ascii="楷体_GB2312" w:hAnsi="楷体_GB2312" w:eastAsia="楷体_GB2312" w:cs="楷体_GB2312"/>
          <w:b w:val="0"/>
          <w:bCs w:val="0"/>
          <w:sz w:val="32"/>
          <w:szCs w:val="32"/>
          <w:highlight w:val="none"/>
          <w:lang w:val="en-US" w:eastAsia="zh-CN"/>
        </w:rPr>
        <w:t>覆盖</w:t>
      </w:r>
      <w:r>
        <w:rPr>
          <w:rFonts w:hint="eastAsia" w:ascii="楷体_GB2312" w:hAnsi="楷体_GB2312" w:eastAsia="楷体_GB2312" w:cs="楷体_GB2312"/>
          <w:b w:val="0"/>
          <w:bCs w:val="0"/>
          <w:sz w:val="32"/>
          <w:szCs w:val="32"/>
          <w:highlight w:val="none"/>
          <w:lang w:val="en-GB"/>
        </w:rPr>
        <w:t>率</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ascii="仿宋" w:hAnsi="仿宋" w:eastAsia="仿宋_GB2312" w:cs="Arial"/>
          <w:sz w:val="32"/>
          <w:szCs w:val="32"/>
          <w:highlight w:val="none"/>
        </w:rPr>
      </w:pPr>
      <w:r>
        <w:rPr>
          <w:rFonts w:hint="eastAsia" w:ascii="仿宋_GB2312" w:hAnsi="Times New Roman" w:eastAsia="仿宋_GB2312" w:cs="Times New Roman"/>
          <w:sz w:val="32"/>
          <w:szCs w:val="32"/>
          <w:highlight w:val="none"/>
        </w:rPr>
        <w:t>衡量财产保险公司中长期资产与沉淀资金的规模匹配情况，</w:t>
      </w:r>
      <w:r>
        <w:rPr>
          <w:rFonts w:ascii="仿宋" w:hAnsi="仿宋" w:eastAsia="仿宋_GB2312" w:cs="Arial"/>
          <w:sz w:val="32"/>
          <w:szCs w:val="32"/>
          <w:highlight w:val="none"/>
        </w:rPr>
        <w:t>旨在引导</w:t>
      </w:r>
      <w:r>
        <w:rPr>
          <w:rFonts w:hint="eastAsia" w:ascii="仿宋" w:hAnsi="仿宋" w:eastAsia="仿宋_GB2312" w:cs="Arial"/>
          <w:sz w:val="32"/>
          <w:szCs w:val="32"/>
          <w:highlight w:val="none"/>
        </w:rPr>
        <w:t>公司</w:t>
      </w:r>
      <w:r>
        <w:rPr>
          <w:rFonts w:ascii="仿宋" w:hAnsi="仿宋" w:eastAsia="仿宋_GB2312" w:cs="Arial"/>
          <w:sz w:val="32"/>
          <w:szCs w:val="32"/>
          <w:highlight w:val="none"/>
        </w:rPr>
        <w:t>合理</w:t>
      </w:r>
      <w:r>
        <w:rPr>
          <w:rFonts w:hint="eastAsia" w:ascii="仿宋" w:hAnsi="仿宋" w:eastAsia="仿宋_GB2312" w:cs="Arial"/>
          <w:sz w:val="32"/>
          <w:szCs w:val="32"/>
          <w:highlight w:val="none"/>
        </w:rPr>
        <w:t>配置长期资产</w:t>
      </w:r>
      <w:r>
        <w:rPr>
          <w:rFonts w:ascii="仿宋" w:hAnsi="仿宋" w:eastAsia="仿宋_GB2312" w:cs="Arial"/>
          <w:sz w:val="32"/>
          <w:szCs w:val="32"/>
          <w:highlight w:val="none"/>
        </w:rPr>
        <w:t>，避免过度依赖</w:t>
      </w:r>
      <w:r>
        <w:rPr>
          <w:rFonts w:hint="eastAsia" w:ascii="仿宋" w:hAnsi="仿宋" w:eastAsia="仿宋_GB2312" w:cs="Arial"/>
          <w:sz w:val="32"/>
          <w:szCs w:val="32"/>
          <w:highlight w:val="none"/>
        </w:rPr>
        <w:t>期限较</w:t>
      </w:r>
      <w:r>
        <w:rPr>
          <w:rFonts w:ascii="仿宋" w:hAnsi="仿宋" w:eastAsia="仿宋_GB2312" w:cs="Arial"/>
          <w:sz w:val="32"/>
          <w:szCs w:val="32"/>
          <w:highlight w:val="none"/>
        </w:rPr>
        <w:t>短</w:t>
      </w:r>
      <w:r>
        <w:rPr>
          <w:rFonts w:hint="eastAsia" w:ascii="仿宋" w:hAnsi="仿宋" w:eastAsia="仿宋_GB2312" w:cs="Arial"/>
          <w:sz w:val="32"/>
          <w:szCs w:val="32"/>
          <w:highlight w:val="none"/>
        </w:rPr>
        <w:t>的</w:t>
      </w:r>
      <w:r>
        <w:rPr>
          <w:rFonts w:ascii="仿宋" w:hAnsi="仿宋" w:eastAsia="仿宋_GB2312" w:cs="Arial"/>
          <w:sz w:val="32"/>
          <w:szCs w:val="32"/>
          <w:highlight w:val="none"/>
        </w:rPr>
        <w:t>资金</w:t>
      </w:r>
      <w:r>
        <w:rPr>
          <w:rFonts w:hint="eastAsia" w:ascii="仿宋" w:hAnsi="仿宋" w:eastAsia="仿宋_GB2312" w:cs="Arial"/>
          <w:sz w:val="32"/>
          <w:szCs w:val="32"/>
          <w:highlight w:val="none"/>
        </w:rPr>
        <w:t>进行长期投资</w:t>
      </w:r>
      <w:r>
        <w:rPr>
          <w:rFonts w:ascii="仿宋" w:hAnsi="仿宋" w:eastAsia="仿宋_GB2312" w:cs="Arial"/>
          <w:sz w:val="32"/>
          <w:szCs w:val="32"/>
          <w:highlight w:val="none"/>
        </w:rPr>
        <w:t>，提高风险抵御能力。</w:t>
      </w:r>
    </w:p>
    <w:p>
      <w:pPr>
        <w:pStyle w:val="9"/>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sz w:val="32"/>
          <w:szCs w:val="32"/>
          <w:highlight w:val="none"/>
        </w:rPr>
      </w:pPr>
      <w:r>
        <w:rPr>
          <w:rFonts w:hint="eastAsia" w:ascii="仿宋_GB2312" w:hAnsi="仿宋_GB2312" w:eastAsia="仿宋_GB2312" w:cs="仿宋_GB2312"/>
          <w:sz w:val="32"/>
          <w:szCs w:val="32"/>
          <w:highlight w:val="none"/>
          <w:lang w:val="en-GB" w:eastAsia="zh-CN"/>
        </w:rPr>
        <w:t>沉淀资金覆盖率=沉淀资金</w:t>
      </w:r>
      <w:r>
        <w:rPr>
          <w:rFonts w:hint="eastAsia" w:ascii="仿宋_GB2312" w:hAnsi="仿宋_GB2312" w:eastAsia="仿宋_GB2312" w:cs="仿宋_GB2312"/>
          <w:kern w:val="2"/>
          <w:sz w:val="32"/>
          <w:szCs w:val="32"/>
          <w:highlight w:val="none"/>
          <w:lang w:val="en-GB" w:eastAsia="zh-CN"/>
        </w:rPr>
        <w:t>÷中长期资产</w:t>
      </w:r>
    </w:p>
    <w:p>
      <w:pPr>
        <w:pStyle w:val="9"/>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cs="MS Mincho"/>
          <w:sz w:val="32"/>
          <w:szCs w:val="32"/>
          <w:highlight w:val="none"/>
          <w:lang w:val="en-GB" w:eastAsia="zh-CN"/>
        </w:rPr>
      </w:pPr>
      <w:r>
        <w:rPr>
          <w:rFonts w:hint="eastAsia" w:ascii="仿宋_GB2312" w:hAnsi="仿宋" w:eastAsia="仿宋_GB2312" w:cs="MS Mincho"/>
          <w:sz w:val="32"/>
          <w:szCs w:val="32"/>
          <w:highlight w:val="none"/>
          <w:lang w:val="en-GB" w:eastAsia="zh-CN"/>
        </w:rPr>
        <w:t>其中，</w:t>
      </w:r>
      <w:r>
        <w:rPr>
          <w:rFonts w:hint="eastAsia" w:ascii="仿宋_GB2312" w:hAnsi="仿宋" w:eastAsia="仿宋_GB2312" w:cs="MS Mincho"/>
          <w:sz w:val="32"/>
          <w:szCs w:val="32"/>
          <w:highlight w:val="none"/>
          <w:lang w:val="en-GB"/>
        </w:rPr>
        <w:t>沉淀资金是基于财产保险产品滚动投保的特性，在账户日常资金流动过程中留存的、数量相对稳定的资金，可以用于进行中长期投资。</w:t>
      </w:r>
      <w:r>
        <w:rPr>
          <w:rFonts w:hint="eastAsia" w:ascii="仿宋_GB2312" w:hAnsi="仿宋" w:eastAsia="仿宋_GB2312" w:cs="MS Mincho"/>
          <w:sz w:val="32"/>
          <w:szCs w:val="32"/>
          <w:highlight w:val="none"/>
          <w:lang w:val="en-GB" w:eastAsia="zh-CN"/>
        </w:rPr>
        <w:t>沉淀资金的计算基于系数法和情景法，取两者较小值，具体方法另行制定。</w:t>
      </w:r>
    </w:p>
    <w:p>
      <w:pPr>
        <w:pStyle w:val="9"/>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sz w:val="32"/>
          <w:szCs w:val="32"/>
          <w:highlight w:val="none"/>
        </w:rPr>
      </w:pPr>
      <w:r>
        <w:rPr>
          <w:rFonts w:hint="eastAsia" w:ascii="仿宋_GB2312" w:hAnsi="仿宋" w:eastAsia="仿宋_GB2312"/>
          <w:sz w:val="32"/>
          <w:szCs w:val="32"/>
          <w:highlight w:val="none"/>
          <w:lang w:val="en-US" w:eastAsia="zh-CN"/>
        </w:rPr>
        <w:t>中长期资产包括剩余期限三年期以上的存款、金融企业（公司）债券、非金融企业（公司）债券、政府支持性债券、国际金融组织债券、资产证券化产品、非标准固定收益类投资资产（不含无明确期限非标准固定收益类投资资产）；权益类投资资产中的未上市企业股权、不含保证条款的股权投资计划、股权投资基金，权益类集合资金信托计划、权益类专项产品、债转股投资计划、纳入长期股权投资的上市普通股票；不动产类投资资产（不含境内公开募集基础设施证券投资基金</w:t>
      </w:r>
      <w:r>
        <w:rPr>
          <w:rFonts w:hint="eastAsia" w:ascii="仿宋_GB2312" w:hAnsi="仿宋_GB2312" w:eastAsia="仿宋_GB2312" w:cs="仿宋_GB2312"/>
          <w:sz w:val="32"/>
          <w:szCs w:val="32"/>
          <w:highlight w:val="none"/>
          <w:lang w:val="en-US" w:eastAsia="zh-CN"/>
        </w:rPr>
        <w:t>、境外房地产信托投资基金等</w:t>
      </w:r>
      <w:r>
        <w:rPr>
          <w:rFonts w:hint="eastAsia" w:ascii="仿宋_GB2312" w:hAnsi="仿宋" w:eastAsia="仿宋_GB2312"/>
          <w:sz w:val="32"/>
          <w:szCs w:val="32"/>
          <w:highlight w:val="none"/>
          <w:lang w:val="en-US" w:eastAsia="zh-CN"/>
        </w:rPr>
        <w:t>）、自用性不动产；商品类投资资产等。对于保险公司投资的单一资产管理计划和面向单一投资者发行的组合类保险资产管理产品、私募理财产品，应当按照穿透原则统计。</w:t>
      </w:r>
      <w:r>
        <w:rPr>
          <w:rFonts w:hint="eastAsia" w:ascii="仿宋_GB2312" w:hAnsi="仿宋" w:eastAsia="仿宋_GB2312"/>
          <w:sz w:val="32"/>
          <w:szCs w:val="32"/>
          <w:lang w:val="en-US" w:eastAsia="zh-CN"/>
        </w:rPr>
        <w:t>若保险公司</w:t>
      </w:r>
      <w:r>
        <w:rPr>
          <w:rFonts w:hint="eastAsia" w:ascii="仿宋_GB2312" w:hAnsi="仿宋" w:eastAsia="仿宋_GB2312"/>
          <w:sz w:val="32"/>
          <w:szCs w:val="32"/>
          <w:shd w:val="clear" w:fill="FFFFFF"/>
          <w:lang w:val="en-US" w:eastAsia="zh-CN"/>
        </w:rPr>
        <w:t>无</w:t>
      </w:r>
      <w:r>
        <w:rPr>
          <w:rFonts w:hint="eastAsia" w:ascii="仿宋_GB2312" w:hAnsi="仿宋" w:eastAsia="仿宋_GB2312"/>
          <w:sz w:val="32"/>
          <w:szCs w:val="32"/>
          <w:lang w:val="en-US" w:eastAsia="zh-CN"/>
        </w:rPr>
        <w:t>中长期资产，沉淀资金覆盖率取值100%。</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_GB2312" w:hAnsi="楷体_GB2312" w:eastAsia="楷体_GB2312" w:cs="楷体_GB2312"/>
          <w:b w:val="0"/>
          <w:bCs w:val="0"/>
          <w:sz w:val="32"/>
          <w:szCs w:val="32"/>
          <w:highlight w:val="none"/>
          <w:lang w:val="en-GB"/>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二</w:t>
      </w:r>
      <w:r>
        <w:rPr>
          <w:rFonts w:hint="eastAsia" w:ascii="楷体_GB2312" w:hAnsi="楷体_GB2312" w:eastAsia="楷体_GB2312" w:cs="楷体_GB2312"/>
          <w:b w:val="0"/>
          <w:bCs w:val="0"/>
          <w:sz w:val="32"/>
          <w:szCs w:val="32"/>
          <w:highlight w:val="none"/>
          <w:lang w:val="en-GB" w:eastAsia="zh-CN"/>
        </w:rPr>
        <w:t>）收入覆盖</w:t>
      </w:r>
      <w:r>
        <w:rPr>
          <w:rFonts w:hint="eastAsia" w:ascii="楷体_GB2312" w:hAnsi="楷体_GB2312" w:eastAsia="楷体_GB2312" w:cs="楷体_GB2312"/>
          <w:b w:val="0"/>
          <w:bCs w:val="0"/>
          <w:sz w:val="32"/>
          <w:szCs w:val="32"/>
          <w:highlight w:val="none"/>
          <w:lang w:val="en-GB"/>
        </w:rPr>
        <w:t>率</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cs="MS Mincho"/>
          <w:sz w:val="32"/>
          <w:szCs w:val="32"/>
          <w:highlight w:val="none"/>
          <w:lang w:val="en-GB"/>
        </w:rPr>
      </w:pPr>
      <w:r>
        <w:rPr>
          <w:rFonts w:hint="eastAsia" w:ascii="仿宋_GB2312" w:hAnsi="仿宋" w:eastAsia="仿宋_GB2312" w:cs="Arial"/>
          <w:sz w:val="32"/>
          <w:szCs w:val="32"/>
          <w:highlight w:val="none"/>
        </w:rPr>
        <w:t>衡量财产保险公司在较长期间的</w:t>
      </w:r>
      <w:r>
        <w:rPr>
          <w:rFonts w:hint="eastAsia" w:ascii="仿宋_GB2312" w:hAnsi="Times New Roman" w:eastAsia="仿宋_GB2312" w:cs="Times New Roman"/>
          <w:sz w:val="32"/>
          <w:szCs w:val="32"/>
          <w:highlight w:val="none"/>
        </w:rPr>
        <w:t>整体</w:t>
      </w:r>
      <w:r>
        <w:rPr>
          <w:rFonts w:hint="eastAsia" w:ascii="仿宋_GB2312" w:hAnsi="Times New Roman" w:eastAsia="仿宋_GB2312" w:cs="Times New Roman"/>
          <w:sz w:val="32"/>
          <w:szCs w:val="32"/>
          <w:highlight w:val="none"/>
          <w:lang w:eastAsia="zh-CN"/>
        </w:rPr>
        <w:t>收入</w:t>
      </w:r>
      <w:r>
        <w:rPr>
          <w:rFonts w:hint="eastAsia" w:ascii="仿宋_GB2312" w:hAnsi="Times New Roman" w:eastAsia="仿宋_GB2312" w:cs="Times New Roman"/>
          <w:sz w:val="32"/>
          <w:szCs w:val="32"/>
          <w:highlight w:val="none"/>
        </w:rPr>
        <w:t>水平能否覆盖公司的整体业务成本，</w:t>
      </w:r>
      <w:r>
        <w:rPr>
          <w:rFonts w:hint="eastAsia" w:ascii="仿宋_GB2312" w:hAnsi="仿宋" w:eastAsia="仿宋_GB2312" w:cs="MS Mincho"/>
          <w:sz w:val="32"/>
          <w:szCs w:val="32"/>
          <w:highlight w:val="none"/>
          <w:lang w:val="en-GB"/>
        </w:rPr>
        <w:t>降低因短期市场波动</w:t>
      </w:r>
      <w:r>
        <w:rPr>
          <w:rFonts w:hint="eastAsia" w:ascii="仿宋_GB2312" w:hAnsi="仿宋" w:eastAsia="仿宋_GB2312" w:cs="MS Mincho"/>
          <w:sz w:val="32"/>
          <w:szCs w:val="32"/>
          <w:highlight w:val="none"/>
          <w:lang w:val="en-GB" w:eastAsia="zh-CN"/>
        </w:rPr>
        <w:t>带来的影响</w:t>
      </w:r>
      <w:r>
        <w:rPr>
          <w:rFonts w:hint="eastAsia" w:ascii="仿宋_GB2312" w:hAnsi="仿宋" w:eastAsia="仿宋_GB2312" w:cs="MS Mincho"/>
          <w:sz w:val="32"/>
          <w:szCs w:val="32"/>
          <w:highlight w:val="none"/>
          <w:lang w:val="en-GB"/>
        </w:rPr>
        <w:t>。</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Arial" w:hAnsi="Arial" w:eastAsia="仿宋_GB2312" w:cs="Arial"/>
          <w:sz w:val="32"/>
          <w:szCs w:val="32"/>
          <w:highlight w:val="none"/>
          <w:lang w:val="en-US" w:eastAsia="zh-CN"/>
        </w:rPr>
      </w:pPr>
      <w:r>
        <w:rPr>
          <w:rFonts w:hint="eastAsia" w:ascii="仿宋_GB2312" w:hAnsi="仿宋" w:eastAsia="仿宋_GB2312" w:cs="MS Mincho"/>
          <w:sz w:val="32"/>
          <w:szCs w:val="32"/>
          <w:highlight w:val="none"/>
          <w:lang w:val="en-GB" w:eastAsia="zh-CN"/>
        </w:rPr>
        <w:t>收入覆盖率</w:t>
      </w:r>
      <w:r>
        <w:rPr>
          <w:rFonts w:hint="eastAsia" w:ascii="仿宋_GB2312" w:hAnsi="仿宋" w:eastAsia="仿宋_GB2312" w:cs="MS Mincho"/>
          <w:sz w:val="32"/>
          <w:szCs w:val="32"/>
          <w:highlight w:val="none"/>
          <w:lang w:val="en-US" w:eastAsia="zh-CN"/>
        </w:rPr>
        <w:t>=（过去三年保险服务收入+过去三年综合投资收益）</w:t>
      </w:r>
      <w:r>
        <w:rPr>
          <w:rFonts w:hint="eastAsia" w:ascii="仿宋_GB2312" w:hAnsi="Times New Roman" w:eastAsia="仿宋_GB2312" w:cs="Times New Roman"/>
          <w:sz w:val="32"/>
          <w:szCs w:val="32"/>
          <w:highlight w:val="none"/>
          <w:lang w:eastAsia="zh-CN"/>
        </w:rPr>
        <w:t>÷</w:t>
      </w:r>
      <w:r>
        <w:rPr>
          <w:rFonts w:hint="eastAsia" w:ascii="Arial" w:hAnsi="Arial" w:eastAsia="仿宋_GB2312" w:cs="Arial"/>
          <w:sz w:val="32"/>
          <w:szCs w:val="32"/>
          <w:highlight w:val="none"/>
          <w:lang w:val="en-US" w:eastAsia="zh-CN"/>
        </w:rPr>
        <w:t>过去三年综合成本</w:t>
      </w:r>
    </w:p>
    <w:p>
      <w:pPr>
        <w:keepNext w:val="0"/>
        <w:keepLines w:val="0"/>
        <w:pageBreakBefore w:val="0"/>
        <w:widowControl w:val="0"/>
        <w:kinsoku/>
        <w:wordWrap/>
        <w:overflowPunct/>
        <w:topLinePunct w:val="0"/>
        <w:autoSpaceDE/>
        <w:autoSpaceDN/>
        <w:bidi w:val="0"/>
        <w:adjustRightInd/>
        <w:snapToGrid/>
        <w:spacing w:before="0" w:beforeLines="0" w:afterLines="0" w:line="580" w:lineRule="exact"/>
        <w:ind w:firstLine="0"/>
        <w:textAlignment w:val="auto"/>
        <w:rPr>
          <w:rFonts w:hint="eastAsia" w:ascii="仿宋_GB2312" w:hAnsi="仿宋" w:eastAsia="仿宋_GB2312" w:cs="Times New Roman"/>
          <w:sz w:val="32"/>
          <w:szCs w:val="32"/>
          <w:highlight w:val="none"/>
          <w:lang w:val="en-GB" w:eastAsia="zh-CN"/>
        </w:rPr>
      </w:pPr>
      <w:r>
        <w:rPr>
          <w:rFonts w:hint="eastAsia" w:ascii="仿宋_GB2312" w:hAnsi="仿宋_GB2312" w:eastAsia="仿宋_GB2312" w:cs="仿宋_GB2312"/>
          <w:sz w:val="32"/>
          <w:szCs w:val="32"/>
          <w:highlight w:val="none"/>
          <w:lang w:eastAsia="zh-CN"/>
        </w:rPr>
        <w:t>其中，</w:t>
      </w:r>
      <w:r>
        <w:rPr>
          <w:rFonts w:hint="eastAsia" w:ascii="仿宋_GB2312" w:hAnsi="仿宋" w:eastAsia="仿宋_GB2312" w:cs="MS Mincho"/>
          <w:sz w:val="32"/>
          <w:szCs w:val="32"/>
          <w:highlight w:val="none"/>
          <w:lang w:val="en-US" w:eastAsia="zh-CN"/>
        </w:rPr>
        <w:t>过去</w:t>
      </w:r>
      <w:r>
        <w:rPr>
          <w:rFonts w:hint="eastAsia" w:ascii="仿宋_GB2312" w:hAnsi="仿宋" w:eastAsia="仿宋_GB2312" w:cs="Times New Roman"/>
          <w:sz w:val="32"/>
          <w:szCs w:val="32"/>
          <w:highlight w:val="none"/>
          <w:lang w:val="en-US" w:eastAsia="zh-CN"/>
        </w:rPr>
        <w:t>三年综合投资收益为过去36个月累计综合投资收益，</w:t>
      </w:r>
      <w:r>
        <w:rPr>
          <w:rFonts w:hint="eastAsia" w:ascii="仿宋_GB2312" w:hAnsi="仿宋" w:eastAsia="仿宋_GB2312" w:cs="Times New Roman"/>
          <w:sz w:val="32"/>
          <w:szCs w:val="32"/>
          <w:highlight w:val="none"/>
        </w:rPr>
        <w:t>综合投资收益=</w:t>
      </w:r>
      <w:r>
        <w:rPr>
          <w:rFonts w:hint="eastAsia" w:ascii="仿宋_GB2312" w:hAnsi="仿宋" w:eastAsia="仿宋_GB2312" w:cs="Times New Roman"/>
          <w:sz w:val="32"/>
          <w:szCs w:val="32"/>
          <w:highlight w:val="none"/>
          <w:lang w:val="en-US" w:eastAsia="zh-CN"/>
        </w:rPr>
        <w:t>利息收入</w:t>
      </w:r>
      <w:r>
        <w:rPr>
          <w:rFonts w:hint="eastAsia" w:ascii="仿宋_GB2312" w:hAnsi="仿宋" w:eastAsia="仿宋_GB2312" w:cs="Times New Roman"/>
          <w:sz w:val="32"/>
          <w:szCs w:val="32"/>
          <w:highlight w:val="none"/>
          <w:lang w:val="en-GB"/>
        </w:rPr>
        <w:t>+</w:t>
      </w:r>
      <w:r>
        <w:rPr>
          <w:rFonts w:hint="eastAsia" w:ascii="仿宋_GB2312" w:hAnsi="仿宋" w:eastAsia="仿宋_GB2312" w:cs="Times New Roman"/>
          <w:sz w:val="32"/>
          <w:szCs w:val="32"/>
          <w:highlight w:val="none"/>
          <w:lang w:val="en-GB" w:eastAsia="zh-CN"/>
        </w:rPr>
        <w:t>投资收益</w:t>
      </w:r>
      <w:r>
        <w:rPr>
          <w:rFonts w:hint="eastAsia" w:ascii="仿宋_GB2312" w:hAnsi="仿宋" w:eastAsia="仿宋_GB2312" w:cs="Times New Roman"/>
          <w:sz w:val="32"/>
          <w:szCs w:val="32"/>
          <w:highlight w:val="none"/>
          <w:lang w:val="en-GB"/>
        </w:rPr>
        <w:t>+</w:t>
      </w:r>
      <w:r>
        <w:rPr>
          <w:rFonts w:hint="eastAsia" w:ascii="仿宋_GB2312" w:hAnsi="仿宋" w:eastAsia="仿宋_GB2312" w:cs="Times New Roman"/>
          <w:sz w:val="32"/>
          <w:szCs w:val="32"/>
          <w:highlight w:val="none"/>
          <w:lang w:val="en-GB" w:eastAsia="zh-CN"/>
        </w:rPr>
        <w:t>公允价值变动损益</w:t>
      </w:r>
      <w:r>
        <w:rPr>
          <w:rFonts w:hint="eastAsia" w:ascii="仿宋_GB2312" w:hAnsi="仿宋" w:eastAsia="仿宋_GB2312" w:cs="Times New Roman"/>
          <w:sz w:val="32"/>
          <w:szCs w:val="32"/>
          <w:highlight w:val="none"/>
          <w:lang w:val="en-GB"/>
        </w:rPr>
        <w:t>+其他投资损益+</w:t>
      </w:r>
      <w:r>
        <w:rPr>
          <w:rFonts w:hint="eastAsia" w:ascii="仿宋_GB2312" w:hAnsi="仿宋_GB2312" w:eastAsia="仿宋_GB2312" w:cs="仿宋_GB2312"/>
          <w:sz w:val="32"/>
          <w:szCs w:val="32"/>
        </w:rPr>
        <w:t>以公允价值计量且</w:t>
      </w:r>
      <w:r>
        <w:rPr>
          <w:rFonts w:hint="eastAsia" w:ascii="仿宋_GB2312" w:hAnsi="仿宋_GB2312" w:eastAsia="仿宋_GB2312" w:cs="仿宋_GB2312"/>
          <w:sz w:val="32"/>
          <w:szCs w:val="32"/>
          <w:lang w:val="en-US" w:eastAsia="zh-CN"/>
        </w:rPr>
        <w:t>其</w:t>
      </w:r>
      <w:r>
        <w:rPr>
          <w:rFonts w:hint="eastAsia" w:ascii="仿宋_GB2312" w:hAnsi="仿宋_GB2312" w:eastAsia="仿宋_GB2312" w:cs="仿宋_GB2312"/>
          <w:sz w:val="32"/>
          <w:szCs w:val="32"/>
        </w:rPr>
        <w:t>变动计入其他综合</w:t>
      </w:r>
      <w:r>
        <w:rPr>
          <w:rFonts w:hint="eastAsia" w:ascii="仿宋_GB2312" w:hAnsi="仿宋_GB2312" w:eastAsia="仿宋_GB2312" w:cs="仿宋_GB2312"/>
          <w:sz w:val="32"/>
          <w:szCs w:val="32"/>
          <w:lang w:eastAsia="zh-CN"/>
        </w:rPr>
        <w:t>收益（</w:t>
      </w:r>
      <w:r>
        <w:rPr>
          <w:rFonts w:hint="eastAsia" w:ascii="仿宋_GB2312" w:hAnsi="仿宋_GB2312" w:eastAsia="仿宋_GB2312" w:cs="仿宋_GB2312"/>
          <w:sz w:val="32"/>
          <w:szCs w:val="32"/>
        </w:rPr>
        <w:t>以下简称“FVOCI”</w:t>
      </w:r>
      <w:r>
        <w:rPr>
          <w:rFonts w:hint="eastAsia" w:ascii="仿宋_GB2312" w:hAnsi="仿宋_GB2312" w:eastAsia="仿宋_GB2312" w:cs="仿宋_GB2312"/>
          <w:sz w:val="32"/>
          <w:szCs w:val="32"/>
          <w:lang w:eastAsia="zh-CN"/>
        </w:rPr>
        <w:t>）</w:t>
      </w:r>
      <w:r>
        <w:rPr>
          <w:rFonts w:hint="eastAsia" w:ascii="仿宋_GB2312" w:hAnsi="仿宋" w:eastAsia="仿宋_GB2312" w:cs="Times New Roman"/>
          <w:sz w:val="32"/>
          <w:szCs w:val="32"/>
          <w:highlight w:val="none"/>
          <w:lang w:val="en-GB"/>
        </w:rPr>
        <w:t>金融资产的公允价值变动+</w:t>
      </w:r>
      <w:r>
        <w:rPr>
          <w:rFonts w:hint="eastAsia" w:ascii="仿宋_GB2312" w:hAnsi="仿宋_GB2312" w:eastAsia="仿宋_GB2312" w:cs="仿宋_GB2312"/>
          <w:sz w:val="32"/>
          <w:szCs w:val="32"/>
          <w:highlight w:val="none"/>
          <w:lang w:eastAsia="zh-CN"/>
        </w:rPr>
        <w:t>指定</w:t>
      </w:r>
      <w:r>
        <w:rPr>
          <w:rFonts w:hint="eastAsia" w:ascii="仿宋_GB2312" w:hAnsi="仿宋_GB2312" w:eastAsia="仿宋_GB2312" w:cs="仿宋_GB2312"/>
          <w:sz w:val="32"/>
          <w:szCs w:val="32"/>
          <w:highlight w:val="none"/>
        </w:rPr>
        <w:t>为FVOCI的</w:t>
      </w:r>
      <w:r>
        <w:rPr>
          <w:rFonts w:hint="eastAsia" w:ascii="仿宋_GB2312" w:hAnsi="仿宋_GB2312" w:eastAsia="仿宋_GB2312" w:cs="仿宋_GB2312"/>
          <w:sz w:val="32"/>
          <w:szCs w:val="32"/>
          <w:highlight w:val="none"/>
          <w:lang w:eastAsia="zh-CN"/>
        </w:rPr>
        <w:t>非交易性</w:t>
      </w:r>
      <w:r>
        <w:rPr>
          <w:rFonts w:hint="eastAsia" w:ascii="仿宋_GB2312" w:hAnsi="仿宋_GB2312" w:eastAsia="仿宋_GB2312" w:cs="仿宋_GB2312"/>
          <w:sz w:val="32"/>
          <w:szCs w:val="32"/>
          <w:highlight w:val="none"/>
        </w:rPr>
        <w:t>权益工具</w:t>
      </w:r>
      <w:r>
        <w:rPr>
          <w:rFonts w:hint="eastAsia" w:ascii="仿宋_GB2312" w:hAnsi="仿宋_GB2312" w:eastAsia="仿宋_GB2312" w:cs="仿宋_GB2312"/>
          <w:sz w:val="32"/>
          <w:szCs w:val="32"/>
          <w:highlight w:val="none"/>
          <w:lang w:eastAsia="zh-CN"/>
        </w:rPr>
        <w:t>投资</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eastAsia="zh-CN"/>
        </w:rPr>
        <w:t>处置损益</w:t>
      </w:r>
      <w:r>
        <w:rPr>
          <w:rFonts w:hint="eastAsia" w:ascii="仿宋_GB2312" w:hAnsi="仿宋" w:eastAsia="仿宋_GB2312" w:cs="Times New Roman"/>
          <w:sz w:val="32"/>
          <w:szCs w:val="32"/>
          <w:highlight w:val="none"/>
          <w:lang w:val="en-GB"/>
        </w:rPr>
        <w:t>-投资资产减值损失-利息支出</w:t>
      </w:r>
      <w:r>
        <w:rPr>
          <w:rFonts w:hint="eastAsia" w:ascii="仿宋_GB2312" w:hAnsi="仿宋" w:eastAsia="仿宋_GB2312" w:cs="Times New Roman"/>
          <w:sz w:val="32"/>
          <w:szCs w:val="32"/>
          <w:highlight w:val="none"/>
          <w:lang w:val="en-GB" w:eastAsia="zh-CN"/>
        </w:rPr>
        <w:t>。</w:t>
      </w:r>
    </w:p>
    <w:p>
      <w:pPr>
        <w:keepNext w:val="0"/>
        <w:keepLines w:val="0"/>
        <w:pageBreakBefore w:val="0"/>
        <w:tabs>
          <w:tab w:val="left" w:pos="851"/>
        </w:tabs>
        <w:kinsoku/>
        <w:wordWrap/>
        <w:overflowPunct/>
        <w:topLinePunct w:val="0"/>
        <w:autoSpaceDE/>
        <w:autoSpaceDN/>
        <w:bidi w:val="0"/>
        <w:snapToGrid/>
        <w:spacing w:line="580" w:lineRule="exact"/>
        <w:ind w:firstLine="640" w:firstLineChars="200"/>
        <w:contextualSpacing/>
        <w:textAlignment w:val="auto"/>
        <w:outlineLvl w:val="2"/>
        <w:rPr>
          <w:rFonts w:hint="eastAsia" w:ascii="仿宋_GB2312" w:hAnsi="仿宋" w:eastAsia="仿宋_GB2312"/>
          <w:sz w:val="32"/>
          <w:szCs w:val="32"/>
          <w:highlight w:val="none"/>
          <w:lang w:eastAsia="zh-CN"/>
        </w:rPr>
      </w:pPr>
      <w:r>
        <w:rPr>
          <w:rFonts w:hint="eastAsia" w:ascii="仿宋_GB2312" w:hAnsi="仿宋" w:eastAsia="仿宋_GB2312" w:cs="MS Mincho"/>
          <w:sz w:val="32"/>
          <w:szCs w:val="32"/>
          <w:highlight w:val="none"/>
          <w:lang w:val="en-US" w:eastAsia="zh-CN"/>
        </w:rPr>
        <w:t>传统账户的过去三年综合成本=传统账户过去三年承保综合成本，过去</w:t>
      </w:r>
      <w:r>
        <w:rPr>
          <w:rFonts w:hint="eastAsia" w:ascii="仿宋_GB2312" w:hAnsi="仿宋" w:eastAsia="仿宋_GB2312" w:cs="Times New Roman"/>
          <w:sz w:val="32"/>
          <w:szCs w:val="32"/>
          <w:highlight w:val="none"/>
          <w:lang w:val="en-US" w:eastAsia="zh-CN"/>
        </w:rPr>
        <w:t>三年承保综合成本为过去36个月累计</w:t>
      </w:r>
      <w:r>
        <w:rPr>
          <w:rFonts w:hint="eastAsia" w:ascii="仿宋_GB2312" w:hAnsi="仿宋" w:eastAsia="仿宋_GB2312"/>
          <w:sz w:val="32"/>
          <w:szCs w:val="32"/>
          <w:highlight w:val="none"/>
        </w:rPr>
        <w:t>承保综合成本</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承保综合成本=保险服务费用+承保财务损益+提取保费准备金+(分出保费的分摊-</w:t>
      </w:r>
      <w:r>
        <w:rPr>
          <w:rFonts w:hint="eastAsia" w:ascii="仿宋_GB2312" w:hAnsi="仿宋" w:eastAsia="仿宋_GB2312"/>
          <w:sz w:val="32"/>
          <w:szCs w:val="32"/>
          <w:highlight w:val="none"/>
          <w:shd w:val="clear" w:fill="FFFFFF"/>
        </w:rPr>
        <w:t>摊回</w:t>
      </w:r>
      <w:r>
        <w:rPr>
          <w:rFonts w:hint="eastAsia" w:ascii="仿宋_GB2312" w:hAnsi="仿宋" w:eastAsia="仿宋_GB2312"/>
          <w:sz w:val="32"/>
          <w:szCs w:val="32"/>
          <w:highlight w:val="none"/>
        </w:rPr>
        <w:t>保险服务费用-分出再保险财务损益)</w:t>
      </w:r>
      <w:r>
        <w:rPr>
          <w:rFonts w:hint="eastAsia" w:ascii="仿宋_GB2312" w:hAnsi="仿宋" w:eastAsia="仿宋_GB2312"/>
          <w:sz w:val="32"/>
          <w:szCs w:val="32"/>
          <w:highlight w:val="none"/>
          <w:lang w:eastAsia="zh-CN"/>
        </w:rPr>
        <w:t>。</w:t>
      </w:r>
    </w:p>
    <w:p>
      <w:pPr>
        <w:keepNext w:val="0"/>
        <w:keepLines w:val="0"/>
        <w:pageBreakBefore w:val="0"/>
        <w:tabs>
          <w:tab w:val="left" w:pos="851"/>
        </w:tabs>
        <w:kinsoku/>
        <w:wordWrap/>
        <w:overflowPunct/>
        <w:topLinePunct w:val="0"/>
        <w:autoSpaceDE/>
        <w:autoSpaceDN/>
        <w:bidi w:val="0"/>
        <w:snapToGrid/>
        <w:spacing w:beforeLines="0" w:afterLines="0" w:line="580" w:lineRule="exact"/>
        <w:ind w:firstLine="640" w:firstLineChars="200"/>
        <w:contextualSpacing/>
        <w:textAlignment w:val="auto"/>
        <w:outlineLvl w:val="2"/>
        <w:rPr>
          <w:rFonts w:hint="eastAsia" w:ascii="仿宋_GB2312" w:hAnsi="仿宋" w:eastAsia="仿宋_GB2312"/>
          <w:sz w:val="32"/>
          <w:szCs w:val="32"/>
          <w:highlight w:val="none"/>
        </w:rPr>
      </w:pPr>
      <w:r>
        <w:rPr>
          <w:rFonts w:hint="eastAsia" w:ascii="仿宋_GB2312" w:hAnsi="仿宋" w:eastAsia="仿宋_GB2312" w:cs="MS Mincho"/>
          <w:sz w:val="32"/>
          <w:szCs w:val="32"/>
          <w:highlight w:val="none"/>
          <w:lang w:val="en-US" w:eastAsia="zh-CN"/>
        </w:rPr>
        <w:t>普通账户的过去三年综合成本=传统账户过去三年承保综合成本+过去三年次级债、资本补充债和无固定期限资本债券利息支出</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_GB2312" w:hAnsi="楷体_GB2312" w:eastAsia="楷体_GB2312" w:cs="楷体_GB2312"/>
          <w:b w:val="0"/>
          <w:bCs w:val="0"/>
          <w:sz w:val="32"/>
          <w:szCs w:val="32"/>
          <w:highlight w:val="none"/>
          <w:lang w:val="en-GB"/>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三</w:t>
      </w: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流动性覆盖率</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Times New Roman" w:eastAsia="仿宋_GB2312" w:cs="Times New Roman"/>
          <w:sz w:val="32"/>
          <w:szCs w:val="32"/>
          <w:highlight w:val="none"/>
          <w:lang w:eastAsia="zh-CN"/>
        </w:rPr>
      </w:pPr>
      <w:r>
        <w:rPr>
          <w:rFonts w:hint="eastAsia" w:ascii="仿宋_GB2312" w:hAnsi="Times New Roman" w:eastAsia="仿宋_GB2312" w:cs="Times New Roman"/>
          <w:sz w:val="32"/>
          <w:szCs w:val="32"/>
          <w:highlight w:val="none"/>
          <w:lang w:eastAsia="zh-CN"/>
        </w:rPr>
        <w:t>衡量财产保险公司短期流动性情况，</w:t>
      </w:r>
      <w:r>
        <w:rPr>
          <w:rFonts w:hint="eastAsia" w:ascii="仿宋_GB2312" w:hAnsi="Times New Roman" w:eastAsia="仿宋_GB2312" w:cs="Times New Roman"/>
          <w:sz w:val="32"/>
          <w:szCs w:val="32"/>
          <w:highlight w:val="none"/>
        </w:rPr>
        <w:t>旨在确保保险公司具有充足的流动性</w:t>
      </w:r>
      <w:r>
        <w:rPr>
          <w:rFonts w:hint="eastAsia" w:ascii="仿宋_GB2312" w:hAnsi="Times New Roman" w:eastAsia="仿宋_GB2312" w:cs="Times New Roman"/>
          <w:sz w:val="32"/>
          <w:szCs w:val="32"/>
          <w:highlight w:val="none"/>
          <w:lang w:eastAsia="zh-CN"/>
        </w:rPr>
        <w:t>资金来源</w:t>
      </w:r>
      <w:r>
        <w:rPr>
          <w:rFonts w:hint="eastAsia" w:ascii="仿宋_GB2312" w:hAnsi="Times New Roman" w:eastAsia="仿宋_GB2312" w:cs="Times New Roman"/>
          <w:sz w:val="32"/>
          <w:szCs w:val="32"/>
          <w:highlight w:val="none"/>
        </w:rPr>
        <w:t>，能够在规定的流动性压力情景下，满足未来的流动性需求</w:t>
      </w:r>
      <w:r>
        <w:rPr>
          <w:rFonts w:hint="eastAsia" w:ascii="仿宋_GB2312" w:hAnsi="仿宋_GB2312" w:eastAsia="仿宋_GB2312" w:cs="仿宋_GB2312"/>
          <w:kern w:val="2"/>
          <w:sz w:val="32"/>
          <w:szCs w:val="32"/>
          <w:highlight w:val="none"/>
          <w:lang w:val="en-GB" w:eastAsia="zh-CN"/>
        </w:rPr>
        <w:t>，</w:t>
      </w:r>
      <w:r>
        <w:rPr>
          <w:rFonts w:hint="eastAsia" w:ascii="仿宋_GB2312" w:hAnsi="仿宋_GB2312" w:eastAsia="仿宋_GB2312" w:cs="仿宋_GB2312"/>
          <w:kern w:val="2"/>
          <w:sz w:val="32"/>
          <w:szCs w:val="32"/>
          <w:highlight w:val="none"/>
          <w:lang w:val="en-US" w:eastAsia="zh-CN"/>
        </w:rPr>
        <w:t>计算方法按照国家金融监督管理总局有关流动性风险监管规则执行</w:t>
      </w:r>
      <w:r>
        <w:rPr>
          <w:rFonts w:hint="eastAsia" w:ascii="仿宋_GB2312" w:hAnsi="仿宋_GB2312" w:eastAsia="仿宋_GB2312" w:cs="仿宋_GB2312"/>
          <w:kern w:val="2"/>
          <w:sz w:val="32"/>
          <w:szCs w:val="32"/>
          <w:highlight w:val="none"/>
          <w:lang w:val="en-GB"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二、监测指标</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楷体_GB2312" w:hAnsi="楷体_GB2312" w:eastAsia="楷体_GB2312" w:cs="楷体_GB2312"/>
          <w:b w:val="0"/>
          <w:bCs w:val="0"/>
          <w:sz w:val="32"/>
          <w:szCs w:val="32"/>
          <w:highlight w:val="none"/>
          <w:lang w:val="en-GB" w:eastAsia="zh-CN"/>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一</w:t>
      </w:r>
      <w:r>
        <w:rPr>
          <w:rFonts w:hint="eastAsia" w:ascii="楷体_GB2312" w:hAnsi="楷体_GB2312" w:eastAsia="楷体_GB2312" w:cs="楷体_GB2312"/>
          <w:b w:val="0"/>
          <w:bCs w:val="0"/>
          <w:sz w:val="32"/>
          <w:szCs w:val="32"/>
          <w:highlight w:val="none"/>
          <w:lang w:val="en-GB" w:eastAsia="zh-CN"/>
        </w:rPr>
        <w:t>）利差一（</w:t>
      </w:r>
      <w:r>
        <w:rPr>
          <w:rFonts w:hint="eastAsia" w:ascii="楷体_GB2312" w:hAnsi="楷体_GB2312" w:eastAsia="楷体_GB2312" w:cs="楷体_GB2312"/>
          <w:b w:val="0"/>
          <w:bCs w:val="0"/>
          <w:sz w:val="32"/>
          <w:szCs w:val="32"/>
          <w:highlight w:val="none"/>
          <w:lang w:val="en-GB"/>
        </w:rPr>
        <w:t>综合投资收益率与负债资金成本率差额</w:t>
      </w:r>
      <w:r>
        <w:rPr>
          <w:rFonts w:hint="eastAsia" w:ascii="楷体_GB2312" w:hAnsi="楷体_GB2312" w:eastAsia="楷体_GB2312" w:cs="楷体_GB2312"/>
          <w:b w:val="0"/>
          <w:bCs w:val="0"/>
          <w:sz w:val="32"/>
          <w:szCs w:val="32"/>
          <w:highlight w:val="none"/>
          <w:lang w:val="en-GB"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ascii="仿宋_GB2312" w:hAnsi="Times New Roman" w:eastAsia="仿宋_GB2312" w:cs="Times New Roman"/>
          <w:sz w:val="32"/>
          <w:szCs w:val="32"/>
          <w:highlight w:val="none"/>
        </w:rPr>
      </w:pPr>
      <w:r>
        <w:rPr>
          <w:rFonts w:hint="eastAsia" w:ascii="仿宋_GB2312" w:hAnsi="仿宋" w:eastAsia="仿宋_GB2312" w:cs="Arial"/>
          <w:sz w:val="32"/>
          <w:szCs w:val="32"/>
          <w:highlight w:val="none"/>
        </w:rPr>
        <w:t>衡量财产</w:t>
      </w:r>
      <w:r>
        <w:rPr>
          <w:rFonts w:hint="eastAsia" w:ascii="仿宋_GB2312" w:hAnsi="Times New Roman" w:eastAsia="仿宋_GB2312" w:cs="Times New Roman"/>
          <w:sz w:val="32"/>
          <w:szCs w:val="32"/>
          <w:highlight w:val="none"/>
        </w:rPr>
        <w:t>保险公司整体投资收益水平能否覆盖公司的整体业务成本。</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ascii="仿宋_GB2312" w:hAnsi="仿宋" w:eastAsia="仿宋_GB2312" w:cs="Arial"/>
          <w:sz w:val="32"/>
          <w:szCs w:val="32"/>
          <w:highlight w:val="none"/>
        </w:rPr>
      </w:pPr>
      <w:r>
        <w:rPr>
          <w:rFonts w:hint="eastAsia" w:ascii="仿宋_GB2312" w:hAnsi="仿宋" w:eastAsia="仿宋_GB2312" w:cs="Arial"/>
          <w:sz w:val="32"/>
          <w:szCs w:val="32"/>
          <w:highlight w:val="none"/>
          <w:lang w:eastAsia="zh-CN"/>
        </w:rPr>
        <w:t>利差一</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w:t>
      </w:r>
      <w:r>
        <w:rPr>
          <w:rFonts w:ascii="仿宋_GB2312" w:hAnsi="仿宋" w:eastAsia="仿宋_GB2312" w:cs="Arial"/>
          <w:sz w:val="32"/>
          <w:szCs w:val="32"/>
          <w:highlight w:val="none"/>
        </w:rPr>
        <w:t>平均综合投资收益率-</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三年平均</w:t>
      </w:r>
      <w:r>
        <w:rPr>
          <w:rFonts w:ascii="仿宋_GB2312" w:hAnsi="仿宋" w:eastAsia="仿宋_GB2312" w:cs="Arial"/>
          <w:sz w:val="32"/>
          <w:szCs w:val="32"/>
          <w:highlight w:val="none"/>
        </w:rPr>
        <w:t>负债资金成本率</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cs="Arial"/>
          <w:sz w:val="32"/>
          <w:szCs w:val="32"/>
          <w:highlight w:val="none"/>
          <w:lang w:eastAsia="zh-CN"/>
        </w:rPr>
      </w:pPr>
      <w:r>
        <w:rPr>
          <w:rFonts w:hint="eastAsia" w:ascii="仿宋_GB2312" w:hAnsi="仿宋" w:eastAsia="仿宋_GB2312" w:cs="Arial"/>
          <w:sz w:val="32"/>
          <w:szCs w:val="32"/>
          <w:highlight w:val="none"/>
          <w:lang w:eastAsia="zh-CN"/>
        </w:rPr>
        <w:t>其中，三年</w:t>
      </w:r>
      <w:r>
        <w:rPr>
          <w:rFonts w:ascii="仿宋_GB2312" w:hAnsi="仿宋" w:eastAsia="仿宋_GB2312" w:cs="Arial"/>
          <w:sz w:val="32"/>
          <w:szCs w:val="32"/>
          <w:highlight w:val="none"/>
        </w:rPr>
        <w:t>平均综合投资收益率</w:t>
      </w:r>
      <w:r>
        <w:rPr>
          <w:rFonts w:hint="eastAsia" w:ascii="仿宋_GB2312" w:hAnsi="仿宋" w:eastAsia="仿宋_GB2312" w:cs="Arial"/>
          <w:sz w:val="32"/>
          <w:szCs w:val="32"/>
          <w:highlight w:val="none"/>
          <w:lang w:eastAsia="zh-CN"/>
        </w:rPr>
        <w:t>为过去三年的</w:t>
      </w:r>
      <w:r>
        <w:rPr>
          <w:rFonts w:ascii="仿宋_GB2312" w:hAnsi="仿宋" w:eastAsia="仿宋_GB2312" w:cs="Arial"/>
          <w:sz w:val="32"/>
          <w:szCs w:val="32"/>
          <w:highlight w:val="none"/>
        </w:rPr>
        <w:t>综合投资</w:t>
      </w:r>
      <w:r>
        <w:rPr>
          <w:rFonts w:hint="eastAsia" w:ascii="仿宋_GB2312" w:hAnsi="仿宋" w:eastAsia="仿宋_GB2312" w:cs="Arial"/>
          <w:sz w:val="32"/>
          <w:szCs w:val="32"/>
          <w:highlight w:val="none"/>
          <w:lang w:eastAsia="zh-CN"/>
        </w:rPr>
        <w:t>收益率按年复利后的平均值，</w:t>
      </w:r>
      <w:r>
        <w:rPr>
          <w:rFonts w:hint="eastAsia" w:ascii="仿宋_GB2312" w:hAnsi="仿宋" w:eastAsia="仿宋_GB2312" w:cs="Arial"/>
          <w:sz w:val="32"/>
          <w:szCs w:val="32"/>
          <w:highlight w:val="none"/>
        </w:rPr>
        <w:t>过去</w:t>
      </w:r>
      <w:r>
        <w:rPr>
          <w:rFonts w:hint="eastAsia" w:ascii="仿宋_GB2312" w:hAnsi="仿宋" w:eastAsia="仿宋_GB2312" w:cs="Arial"/>
          <w:sz w:val="32"/>
          <w:szCs w:val="32"/>
          <w:highlight w:val="none"/>
          <w:lang w:eastAsia="zh-CN"/>
        </w:rPr>
        <w:t>三年平均</w:t>
      </w:r>
      <w:r>
        <w:rPr>
          <w:rFonts w:ascii="仿宋_GB2312" w:hAnsi="仿宋" w:eastAsia="仿宋_GB2312" w:cs="Arial"/>
          <w:sz w:val="32"/>
          <w:szCs w:val="32"/>
          <w:highlight w:val="none"/>
        </w:rPr>
        <w:t>负债资金成本率</w:t>
      </w:r>
      <w:r>
        <w:rPr>
          <w:rFonts w:hint="eastAsia" w:ascii="仿宋_GB2312" w:hAnsi="仿宋" w:eastAsia="仿宋_GB2312" w:cs="Arial"/>
          <w:sz w:val="32"/>
          <w:szCs w:val="32"/>
          <w:highlight w:val="none"/>
          <w:lang w:eastAsia="zh-CN"/>
        </w:rPr>
        <w:t>为过去三年的负债资金成本率按年</w:t>
      </w:r>
      <w:r>
        <w:rPr>
          <w:rFonts w:hint="eastAsia" w:ascii="仿宋_GB2312" w:hAnsi="仿宋" w:eastAsia="仿宋_GB2312" w:cs="Arial"/>
          <w:sz w:val="32"/>
          <w:szCs w:val="32"/>
          <w:highlight w:val="none"/>
          <w:shd w:val="clear" w:fill="FFFFFF"/>
          <w:lang w:eastAsia="zh-CN"/>
        </w:rPr>
        <w:t>的算术平均值</w:t>
      </w:r>
      <w:r>
        <w:rPr>
          <w:rFonts w:hint="eastAsia" w:ascii="仿宋_GB2312" w:hAnsi="仿宋" w:eastAsia="仿宋_GB2312" w:cs="Arial"/>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default" w:ascii="仿宋_GB2312" w:hAnsi="仿宋" w:eastAsia="仿宋_GB2312" w:cs="Arial"/>
          <w:sz w:val="32"/>
          <w:szCs w:val="32"/>
          <w:highlight w:val="none"/>
          <w:lang w:val="en-US" w:eastAsia="zh-CN"/>
        </w:rPr>
      </w:pPr>
      <w:r>
        <w:rPr>
          <w:rFonts w:hint="eastAsia" w:ascii="仿宋_GB2312" w:hAnsi="仿宋" w:eastAsia="仿宋_GB2312" w:cs="Arial"/>
          <w:sz w:val="32"/>
          <w:szCs w:val="32"/>
          <w:highlight w:val="none"/>
          <w:lang w:eastAsia="zh-CN"/>
        </w:rPr>
        <w:t>综合投资收益率</w:t>
      </w:r>
      <w:r>
        <w:rPr>
          <w:rFonts w:hint="eastAsia" w:ascii="仿宋_GB2312" w:hAnsi="仿宋" w:eastAsia="仿宋_GB2312" w:cs="Arial"/>
          <w:sz w:val="32"/>
          <w:szCs w:val="32"/>
          <w:highlight w:val="none"/>
          <w:lang w:val="en-US" w:eastAsia="zh-CN"/>
        </w:rPr>
        <w:t>=</w:t>
      </w:r>
      <w:r>
        <w:rPr>
          <w:rFonts w:hint="eastAsia" w:ascii="仿宋_GB2312" w:hAnsi="仿宋" w:eastAsia="仿宋_GB2312" w:cs="Times New Roman"/>
          <w:sz w:val="32"/>
          <w:szCs w:val="32"/>
          <w:highlight w:val="none"/>
          <w:lang w:val="en-US" w:eastAsia="zh-CN"/>
        </w:rPr>
        <w:t>综合投资收益</w:t>
      </w:r>
      <w:r>
        <w:rPr>
          <w:rFonts w:hint="eastAsia" w:ascii="Arial" w:hAnsi="Arial" w:eastAsia="仿宋_GB2312" w:cs="Arial"/>
          <w:sz w:val="32"/>
          <w:szCs w:val="32"/>
          <w:highlight w:val="none"/>
          <w:lang w:val="en-US" w:eastAsia="zh-CN"/>
        </w:rPr>
        <w:t>÷</w:t>
      </w:r>
      <w:r>
        <w:rPr>
          <w:rFonts w:hint="eastAsia" w:ascii="仿宋_GB2312" w:hAnsi="仿宋" w:eastAsia="仿宋_GB2312" w:cs="Times New Roman"/>
          <w:sz w:val="32"/>
          <w:szCs w:val="32"/>
          <w:highlight w:val="none"/>
          <w:lang w:val="en-US" w:eastAsia="zh-CN"/>
        </w:rPr>
        <w:t>资金运用平均净额</w:t>
      </w:r>
    </w:p>
    <w:p>
      <w:pPr>
        <w:keepNext w:val="0"/>
        <w:keepLines w:val="0"/>
        <w:pageBreakBefore w:val="0"/>
        <w:widowControl w:val="0"/>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普通账户</w:t>
      </w:r>
      <w:r>
        <w:rPr>
          <w:rFonts w:hint="eastAsia" w:ascii="仿宋_GB2312" w:hAnsi="仿宋_GB2312" w:eastAsia="仿宋_GB2312" w:cs="仿宋_GB2312"/>
          <w:sz w:val="32"/>
          <w:szCs w:val="32"/>
          <w:highlight w:val="none"/>
        </w:rPr>
        <w:t>负债资金成本率=[传统保险账户负债资金成本率×</w:t>
      </w:r>
      <w:r>
        <w:rPr>
          <w:rFonts w:hint="eastAsia" w:ascii="仿宋_GB2312" w:hAnsi="仿宋_GB2312" w:eastAsia="仿宋_GB2312" w:cs="仿宋_GB2312"/>
          <w:sz w:val="32"/>
          <w:szCs w:val="32"/>
          <w:highlight w:val="none"/>
          <w:lang w:eastAsia="zh-CN"/>
        </w:rPr>
        <w:t>（</w:t>
      </w:r>
      <w:r>
        <w:rPr>
          <w:rFonts w:hint="eastAsia" w:ascii="仿宋_GB2312" w:hAnsi="仿宋" w:eastAsia="仿宋_GB2312"/>
          <w:sz w:val="32"/>
          <w:szCs w:val="32"/>
          <w:highlight w:val="none"/>
        </w:rPr>
        <w:t>传统</w:t>
      </w:r>
      <w:r>
        <w:rPr>
          <w:rFonts w:hint="eastAsia" w:ascii="仿宋_GB2312" w:hAnsi="仿宋" w:eastAsia="仿宋_GB2312"/>
          <w:sz w:val="32"/>
          <w:szCs w:val="32"/>
          <w:highlight w:val="none"/>
          <w:lang w:val="en-US" w:eastAsia="zh-CN"/>
        </w:rPr>
        <w:t>保险</w:t>
      </w:r>
      <w:r>
        <w:rPr>
          <w:rFonts w:hint="eastAsia" w:ascii="仿宋_GB2312" w:hAnsi="仿宋" w:eastAsia="仿宋_GB2312"/>
          <w:sz w:val="32"/>
          <w:szCs w:val="32"/>
          <w:highlight w:val="none"/>
        </w:rPr>
        <w:t>账户负债平均规模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平均</w:t>
      </w:r>
      <w:r>
        <w:rPr>
          <w:rFonts w:hint="eastAsia" w:ascii="仿宋_GB2312" w:hAnsi="仿宋_GB2312" w:eastAsia="仿宋_GB2312" w:cs="仿宋_GB2312"/>
          <w:sz w:val="32"/>
          <w:szCs w:val="32"/>
          <w:highlight w:val="none"/>
        </w:rPr>
        <w:t>净资产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+次级债、资本补充债和无固定期限资本债券账户负债资金成本率×次级债、资本补充债和无固定期限资本债券</w:t>
      </w:r>
      <w:r>
        <w:rPr>
          <w:rFonts w:hint="eastAsia" w:ascii="仿宋_GB2312" w:hAnsi="仿宋_GB2312" w:eastAsia="仿宋_GB2312" w:cs="仿宋_GB2312"/>
          <w:sz w:val="32"/>
          <w:szCs w:val="32"/>
          <w:highlight w:val="none"/>
          <w:lang w:val="en-US" w:eastAsia="zh-CN"/>
        </w:rPr>
        <w:t>负债平均规模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 w:eastAsia="仿宋_GB2312"/>
          <w:sz w:val="32"/>
          <w:szCs w:val="32"/>
          <w:highlight w:val="none"/>
        </w:rPr>
        <w:t>传统</w:t>
      </w:r>
      <w:r>
        <w:rPr>
          <w:rFonts w:hint="eastAsia" w:ascii="仿宋_GB2312" w:hAnsi="仿宋" w:eastAsia="仿宋_GB2312"/>
          <w:sz w:val="32"/>
          <w:szCs w:val="32"/>
          <w:highlight w:val="none"/>
          <w:lang w:val="en-US" w:eastAsia="zh-CN"/>
        </w:rPr>
        <w:t>保险</w:t>
      </w:r>
      <w:r>
        <w:rPr>
          <w:rFonts w:hint="eastAsia" w:ascii="仿宋_GB2312" w:hAnsi="仿宋" w:eastAsia="仿宋_GB2312"/>
          <w:sz w:val="32"/>
          <w:szCs w:val="32"/>
          <w:highlight w:val="none"/>
        </w:rPr>
        <w:t>账户负债平均规模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平均</w:t>
      </w:r>
      <w:r>
        <w:rPr>
          <w:rFonts w:hint="eastAsia" w:ascii="仿宋_GB2312" w:hAnsi="仿宋_GB2312" w:eastAsia="仿宋_GB2312" w:cs="仿宋_GB2312"/>
          <w:sz w:val="32"/>
          <w:szCs w:val="32"/>
          <w:highlight w:val="none"/>
        </w:rPr>
        <w:t>净资产+次级债、资本补充债和无固定期限资本债券</w:t>
      </w:r>
      <w:r>
        <w:rPr>
          <w:rFonts w:hint="eastAsia" w:ascii="仿宋_GB2312" w:hAnsi="仿宋_GB2312" w:eastAsia="仿宋_GB2312" w:cs="仿宋_GB2312"/>
          <w:sz w:val="32"/>
          <w:szCs w:val="32"/>
          <w:highlight w:val="none"/>
          <w:lang w:val="en-US" w:eastAsia="zh-CN"/>
        </w:rPr>
        <w:t>负债平均规模</w:t>
      </w:r>
      <w:r>
        <w:rPr>
          <w:rFonts w:hint="eastAsia" w:ascii="仿宋_GB2312" w:hAnsi="仿宋_GB2312" w:eastAsia="仿宋_GB2312" w:cs="仿宋_GB2312"/>
          <w:sz w:val="32"/>
          <w:szCs w:val="32"/>
          <w:highlight w:val="none"/>
        </w:rPr>
        <w:t>)×100%</w:t>
      </w:r>
    </w:p>
    <w:p>
      <w:pPr>
        <w:keepNext w:val="0"/>
        <w:keepLines w:val="0"/>
        <w:pageBreakBefore w:val="0"/>
        <w:kinsoku/>
        <w:wordWrap/>
        <w:overflowPunct/>
        <w:topLinePunct w:val="0"/>
        <w:autoSpaceDE/>
        <w:autoSpaceDN/>
        <w:bidi w:val="0"/>
        <w:snapToGrid/>
        <w:spacing w:beforeLines="0" w:afterLines="0" w:line="580" w:lineRule="exact"/>
        <w:ind w:firstLine="0"/>
        <w:contextualSpacing/>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传统保险</w:t>
      </w:r>
      <w:r>
        <w:rPr>
          <w:rFonts w:hint="eastAsia" w:ascii="仿宋_GB2312" w:hAnsi="仿宋_GB2312" w:eastAsia="仿宋_GB2312" w:cs="仿宋_GB2312"/>
          <w:sz w:val="32"/>
          <w:szCs w:val="32"/>
          <w:highlight w:val="none"/>
          <w:lang w:eastAsia="zh-CN"/>
        </w:rPr>
        <w:t>账户</w:t>
      </w:r>
      <w:r>
        <w:rPr>
          <w:rFonts w:hint="eastAsia" w:ascii="仿宋_GB2312" w:hAnsi="仿宋_GB2312" w:eastAsia="仿宋_GB2312" w:cs="仿宋_GB2312"/>
          <w:sz w:val="32"/>
          <w:szCs w:val="32"/>
          <w:highlight w:val="none"/>
        </w:rPr>
        <w:t>负债资金成本率=</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承保综合成本-保险服务收入</w:t>
      </w:r>
      <w:r>
        <w:rPr>
          <w:rFonts w:hint="eastAsia" w:ascii="仿宋_GB2312" w:hAnsi="仿宋_GB2312" w:eastAsia="仿宋_GB2312" w:cs="仿宋_GB2312"/>
          <w:sz w:val="32"/>
          <w:szCs w:val="32"/>
          <w:highlight w:val="none"/>
          <w:lang w:eastAsia="zh-CN"/>
        </w:rPr>
        <w:t>）÷（</w:t>
      </w:r>
      <w:r>
        <w:rPr>
          <w:rFonts w:hint="eastAsia" w:ascii="仿宋_GB2312" w:hAnsi="仿宋" w:eastAsia="仿宋_GB2312"/>
          <w:sz w:val="32"/>
          <w:szCs w:val="32"/>
          <w:highlight w:val="none"/>
        </w:rPr>
        <w:t>传统</w:t>
      </w:r>
      <w:r>
        <w:rPr>
          <w:rFonts w:hint="eastAsia" w:ascii="仿宋_GB2312" w:hAnsi="仿宋" w:eastAsia="仿宋_GB2312"/>
          <w:sz w:val="32"/>
          <w:szCs w:val="32"/>
          <w:highlight w:val="none"/>
          <w:lang w:val="en-US" w:eastAsia="zh-CN"/>
        </w:rPr>
        <w:t>保险</w:t>
      </w:r>
      <w:r>
        <w:rPr>
          <w:rFonts w:hint="eastAsia" w:ascii="仿宋_GB2312" w:hAnsi="仿宋" w:eastAsia="仿宋_GB2312"/>
          <w:sz w:val="32"/>
          <w:szCs w:val="32"/>
          <w:highlight w:val="none"/>
        </w:rPr>
        <w:t>账户负债平均规模</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平均</w:t>
      </w:r>
      <w:r>
        <w:rPr>
          <w:rFonts w:hint="eastAsia" w:ascii="仿宋_GB2312" w:hAnsi="仿宋_GB2312" w:eastAsia="仿宋_GB2312" w:cs="仿宋_GB2312"/>
          <w:sz w:val="32"/>
          <w:szCs w:val="32"/>
          <w:highlight w:val="none"/>
        </w:rPr>
        <w:t>净资产</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×100%</w:t>
      </w:r>
    </w:p>
    <w:p>
      <w:pPr>
        <w:keepNext w:val="0"/>
        <w:keepLines w:val="0"/>
        <w:pageBreakBefore w:val="0"/>
        <w:kinsoku/>
        <w:wordWrap/>
        <w:overflowPunct/>
        <w:topLinePunct w:val="0"/>
        <w:autoSpaceDE/>
        <w:autoSpaceDN/>
        <w:bidi w:val="0"/>
        <w:snapToGrid/>
        <w:spacing w:beforeLines="0" w:afterLines="0" w:line="580" w:lineRule="exact"/>
        <w:ind w:firstLine="0"/>
        <w:contextualSpacing/>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次级债、资本补充债和无固定期限资本债券账户负债资金成本率为保险公司发行的各期次级债、资本补充债和无固定期限资本债券</w:t>
      </w:r>
      <w:r>
        <w:rPr>
          <w:rFonts w:hint="eastAsia" w:ascii="仿宋_GB2312" w:hAnsi="仿宋_GB2312" w:eastAsia="仿宋_GB2312" w:cs="仿宋_GB2312"/>
          <w:sz w:val="32"/>
          <w:szCs w:val="32"/>
          <w:highlight w:val="none"/>
          <w:lang w:val="en-US" w:eastAsia="zh-CN"/>
        </w:rPr>
        <w:t>票面利率</w:t>
      </w:r>
      <w:r>
        <w:rPr>
          <w:rFonts w:hint="eastAsia" w:ascii="仿宋_GB2312" w:hAnsi="仿宋_GB2312" w:eastAsia="仿宋_GB2312" w:cs="仿宋_GB2312"/>
          <w:sz w:val="32"/>
          <w:szCs w:val="32"/>
          <w:highlight w:val="none"/>
        </w:rPr>
        <w:t>按</w:t>
      </w:r>
      <w:r>
        <w:rPr>
          <w:rFonts w:hint="eastAsia" w:ascii="仿宋_GB2312" w:hAnsi="仿宋_GB2312" w:eastAsia="仿宋_GB2312" w:cs="仿宋_GB2312"/>
          <w:sz w:val="32"/>
          <w:szCs w:val="32"/>
          <w:highlight w:val="none"/>
          <w:lang w:val="en-US" w:eastAsia="zh-CN"/>
        </w:rPr>
        <w:t>负债平均规模</w:t>
      </w:r>
      <w:r>
        <w:rPr>
          <w:rFonts w:hint="eastAsia" w:ascii="仿宋_GB2312" w:hAnsi="仿宋_GB2312" w:eastAsia="仿宋_GB2312" w:cs="仿宋_GB2312"/>
          <w:sz w:val="32"/>
          <w:szCs w:val="32"/>
          <w:highlight w:val="none"/>
        </w:rPr>
        <w:t>加权</w:t>
      </w:r>
      <w:r>
        <w:rPr>
          <w:rFonts w:hint="eastAsia" w:ascii="仿宋_GB2312" w:hAnsi="仿宋_GB2312" w:eastAsia="仿宋_GB2312" w:cs="仿宋_GB2312"/>
          <w:sz w:val="32"/>
          <w:szCs w:val="32"/>
          <w:highlight w:val="none"/>
          <w:lang w:val="en-US" w:eastAsia="zh-CN"/>
        </w:rPr>
        <w:t>的平均利率</w:t>
      </w:r>
      <w:r>
        <w:rPr>
          <w:rFonts w:hint="eastAsia" w:ascii="仿宋_GB2312" w:hAnsi="仿宋_GB2312" w:eastAsia="仿宋_GB2312" w:cs="仿宋_GB2312"/>
          <w:sz w:val="32"/>
          <w:szCs w:val="32"/>
          <w:highlight w:val="none"/>
        </w:rPr>
        <w:t>。</w:t>
      </w:r>
    </w:p>
    <w:p>
      <w:pPr>
        <w:widowControl w:val="0"/>
        <w:numPr>
          <w:ilvl w:val="255"/>
          <w:numId w:val="0"/>
        </w:numPr>
        <w:adjustRightInd w:val="0"/>
        <w:spacing w:beforeLines="0" w:afterLines="0" w:line="580" w:lineRule="exact"/>
        <w:ind w:firstLine="640"/>
        <w:contextualSpacing/>
        <w:outlineLvl w:val="2"/>
        <w:rPr>
          <w:rFonts w:hint="eastAsia" w:ascii="楷体" w:hAnsi="楷体" w:eastAsia="楷体" w:cs="楷体"/>
          <w:b w:val="0"/>
          <w:bCs w:val="0"/>
          <w:sz w:val="32"/>
          <w:szCs w:val="32"/>
          <w:highlight w:val="none"/>
          <w:lang w:val="en-GB" w:eastAsia="zh-CN"/>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二</w:t>
      </w:r>
      <w:r>
        <w:rPr>
          <w:rFonts w:hint="eastAsia" w:ascii="楷体_GB2312" w:hAnsi="楷体_GB2312" w:eastAsia="楷体_GB2312" w:cs="楷体_GB2312"/>
          <w:b w:val="0"/>
          <w:bCs w:val="0"/>
          <w:sz w:val="32"/>
          <w:szCs w:val="32"/>
          <w:highlight w:val="none"/>
          <w:lang w:val="en-GB" w:eastAsia="zh-CN"/>
        </w:rPr>
        <w:t>）利差</w:t>
      </w:r>
      <w:r>
        <w:rPr>
          <w:rFonts w:hint="eastAsia" w:ascii="楷体_GB2312" w:hAnsi="楷体_GB2312" w:eastAsia="楷体_GB2312" w:cs="楷体_GB2312"/>
          <w:b w:val="0"/>
          <w:bCs w:val="0"/>
          <w:sz w:val="32"/>
          <w:szCs w:val="32"/>
          <w:highlight w:val="none"/>
          <w:shd w:val="clear" w:fill="FFFFFF"/>
          <w:lang w:val="en-GB" w:eastAsia="zh-CN"/>
        </w:rPr>
        <w:t>二</w:t>
      </w: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净投资收益率与负债资金成本率差额</w:t>
      </w:r>
      <w:r>
        <w:rPr>
          <w:rFonts w:hint="eastAsia" w:ascii="楷体_GB2312" w:hAnsi="楷体_GB2312" w:eastAsia="楷体_GB2312" w:cs="楷体_GB2312"/>
          <w:b w:val="0"/>
          <w:bCs w:val="0"/>
          <w:sz w:val="32"/>
          <w:szCs w:val="32"/>
          <w:highlight w:val="none"/>
          <w:lang w:val="en-GB" w:eastAsia="zh-CN"/>
        </w:rPr>
        <w:t>）</w:t>
      </w:r>
    </w:p>
    <w:p>
      <w:pPr>
        <w:pStyle w:val="9"/>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ascii="仿宋_GB2312" w:hAnsi="Times New Roman" w:eastAsia="仿宋_GB2312" w:cs="Times New Roman"/>
          <w:sz w:val="32"/>
          <w:szCs w:val="32"/>
          <w:highlight w:val="none"/>
        </w:rPr>
      </w:pPr>
      <w:r>
        <w:rPr>
          <w:rFonts w:hint="eastAsia" w:ascii="仿宋_GB2312" w:hAnsi="仿宋" w:eastAsia="仿宋_GB2312" w:cs="MS Mincho"/>
          <w:sz w:val="32"/>
          <w:szCs w:val="32"/>
          <w:highlight w:val="none"/>
          <w:lang w:val="en-GB"/>
        </w:rPr>
        <w:t>衡量财产保险公司净投资收益能否覆盖</w:t>
      </w:r>
      <w:r>
        <w:rPr>
          <w:rFonts w:hint="eastAsia" w:ascii="仿宋_GB2312" w:hAnsi="Times New Roman" w:eastAsia="仿宋_GB2312" w:cs="Times New Roman"/>
          <w:sz w:val="32"/>
          <w:szCs w:val="32"/>
          <w:highlight w:val="none"/>
        </w:rPr>
        <w:t>公司的整体业务成本。</w:t>
      </w:r>
    </w:p>
    <w:p>
      <w:pPr>
        <w:pStyle w:val="9"/>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firstLineChars="200"/>
        <w:contextualSpacing/>
        <w:textAlignment w:val="auto"/>
        <w:outlineLvl w:val="2"/>
        <w:rPr>
          <w:rFonts w:hint="eastAsia" w:ascii="仿宋_GB2312" w:hAnsi="仿宋" w:eastAsia="仿宋_GB2312" w:cs="Arial"/>
          <w:bCs/>
          <w:sz w:val="32"/>
          <w:szCs w:val="32"/>
          <w:highlight w:val="none"/>
        </w:rPr>
      </w:pPr>
      <w:r>
        <w:rPr>
          <w:rFonts w:hint="eastAsia" w:ascii="仿宋_GB2312" w:hAnsi="仿宋" w:eastAsia="仿宋_GB2312" w:cs="Arial"/>
          <w:bCs/>
          <w:sz w:val="32"/>
          <w:szCs w:val="32"/>
          <w:highlight w:val="none"/>
          <w:lang w:eastAsia="zh-CN"/>
        </w:rPr>
        <w:t>利差</w:t>
      </w:r>
      <w:r>
        <w:rPr>
          <w:rFonts w:hint="eastAsia" w:ascii="仿宋_GB2312" w:hAnsi="仿宋" w:eastAsia="仿宋_GB2312" w:cs="Arial"/>
          <w:bCs/>
          <w:sz w:val="32"/>
          <w:szCs w:val="32"/>
          <w:highlight w:val="none"/>
          <w:shd w:val="clear" w:fill="FFFFFF"/>
          <w:lang w:eastAsia="zh-CN"/>
        </w:rPr>
        <w:t>二</w:t>
      </w:r>
      <w:r>
        <w:rPr>
          <w:rFonts w:hint="eastAsia" w:ascii="仿宋_GB2312" w:hAnsi="仿宋" w:eastAsia="仿宋_GB2312" w:cs="Arial"/>
          <w:bCs/>
          <w:sz w:val="32"/>
          <w:szCs w:val="32"/>
          <w:highlight w:val="none"/>
        </w:rPr>
        <w:t>=过去</w:t>
      </w:r>
      <w:r>
        <w:rPr>
          <w:rFonts w:hint="eastAsia" w:ascii="仿宋_GB2312" w:hAnsi="仿宋" w:eastAsia="仿宋_GB2312" w:cs="Arial"/>
          <w:bCs/>
          <w:sz w:val="32"/>
          <w:szCs w:val="32"/>
          <w:highlight w:val="none"/>
          <w:lang w:eastAsia="zh-CN"/>
        </w:rPr>
        <w:t>一年</w:t>
      </w:r>
      <w:r>
        <w:rPr>
          <w:rFonts w:ascii="仿宋_GB2312" w:hAnsi="仿宋" w:eastAsia="仿宋_GB2312" w:cs="Arial"/>
          <w:bCs/>
          <w:sz w:val="32"/>
          <w:szCs w:val="32"/>
          <w:highlight w:val="none"/>
        </w:rPr>
        <w:t>净投资收益率</w:t>
      </w:r>
      <w:r>
        <w:rPr>
          <w:rFonts w:hint="eastAsia" w:ascii="仿宋_GB2312" w:hAnsi="仿宋" w:eastAsia="仿宋_GB2312" w:cs="Arial"/>
          <w:bCs/>
          <w:sz w:val="32"/>
          <w:szCs w:val="32"/>
          <w:highlight w:val="none"/>
        </w:rPr>
        <w:t>-</w:t>
      </w:r>
      <w:r>
        <w:rPr>
          <w:rFonts w:hint="eastAsia" w:ascii="仿宋_GB2312" w:hAnsi="仿宋" w:eastAsia="仿宋_GB2312" w:cs="Arial"/>
          <w:bCs/>
          <w:sz w:val="32"/>
          <w:szCs w:val="32"/>
          <w:highlight w:val="none"/>
          <w:lang w:eastAsia="zh-CN"/>
        </w:rPr>
        <w:t>过去一年</w:t>
      </w:r>
      <w:r>
        <w:rPr>
          <w:rFonts w:hint="eastAsia" w:ascii="仿宋_GB2312" w:hAnsi="仿宋" w:eastAsia="仿宋_GB2312" w:cs="Arial"/>
          <w:bCs/>
          <w:sz w:val="32"/>
          <w:szCs w:val="32"/>
          <w:highlight w:val="none"/>
        </w:rPr>
        <w:t>负债资金成本率</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其中，净投资收益率</w:t>
      </w:r>
      <w:r>
        <w:rPr>
          <w:rFonts w:hint="eastAsia" w:ascii="仿宋_GB2312" w:hAnsi="仿宋_GB2312" w:eastAsia="仿宋_GB2312" w:cs="仿宋_GB2312"/>
          <w:sz w:val="32"/>
          <w:szCs w:val="32"/>
          <w:highlight w:val="none"/>
          <w:lang w:val="en-US" w:eastAsia="zh-CN"/>
        </w:rPr>
        <w:t>中，净</w:t>
      </w:r>
      <w:r>
        <w:rPr>
          <w:rFonts w:hint="eastAsia" w:ascii="仿宋_GB2312" w:hAnsi="仿宋_GB2312" w:eastAsia="仿宋_GB2312" w:cs="仿宋_GB2312"/>
          <w:sz w:val="32"/>
          <w:szCs w:val="32"/>
          <w:highlight w:val="none"/>
        </w:rPr>
        <w:t>投资收益包括</w:t>
      </w:r>
      <w:r>
        <w:rPr>
          <w:rFonts w:hint="eastAsia" w:ascii="仿宋_GB2312" w:hAnsi="仿宋_GB2312" w:eastAsia="仿宋_GB2312" w:cs="仿宋_GB2312"/>
          <w:sz w:val="32"/>
          <w:szCs w:val="32"/>
          <w:highlight w:val="none"/>
          <w:lang w:val="en-GB"/>
        </w:rPr>
        <w:t>利息收入</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lang w:val="en-GB"/>
        </w:rPr>
        <w:t>分类为</w:t>
      </w:r>
      <w:r>
        <w:rPr>
          <w:rFonts w:ascii="仿宋_GB2312" w:hAnsi="仿宋" w:eastAsia="仿宋_GB2312" w:cs="Arial"/>
          <w:sz w:val="32"/>
          <w:szCs w:val="32"/>
          <w:highlight w:val="none"/>
        </w:rPr>
        <w:t>以公允价值计量且其变动计入当期损益</w:t>
      </w:r>
      <w:r>
        <w:rPr>
          <w:rFonts w:hint="eastAsia" w:ascii="仿宋_GB2312" w:hAnsi="仿宋_GB2312" w:eastAsia="仿宋_GB2312" w:cs="仿宋_GB2312"/>
          <w:b w:val="0"/>
          <w:bCs w:val="0"/>
          <w:sz w:val="32"/>
          <w:szCs w:val="32"/>
          <w:highlight w:val="none"/>
          <w:lang w:val="en-GB" w:eastAsia="zh-CN"/>
        </w:rPr>
        <w:t>（</w:t>
      </w:r>
      <w:r>
        <w:rPr>
          <w:rFonts w:hint="eastAsia" w:ascii="仿宋_GB2312" w:hAnsi="仿宋_GB2312" w:eastAsia="仿宋_GB2312" w:cs="仿宋_GB2312"/>
          <w:b w:val="0"/>
          <w:bCs w:val="0"/>
          <w:sz w:val="32"/>
          <w:szCs w:val="32"/>
          <w:highlight w:val="none"/>
          <w:lang w:val="en-US" w:eastAsia="zh-CN"/>
        </w:rPr>
        <w:t>以下简称“</w:t>
      </w:r>
      <w:r>
        <w:rPr>
          <w:rFonts w:hint="eastAsia" w:ascii="仿宋_GB2312" w:hAnsi="仿宋_GB2312" w:eastAsia="仿宋_GB2312" w:cs="仿宋_GB2312"/>
          <w:b w:val="0"/>
          <w:bCs w:val="0"/>
          <w:sz w:val="32"/>
          <w:szCs w:val="32"/>
          <w:highlight w:val="none"/>
          <w:lang w:val="en-GB"/>
        </w:rPr>
        <w:t>FVTPL</w:t>
      </w:r>
      <w:r>
        <w:rPr>
          <w:rFonts w:hint="eastAsia" w:ascii="仿宋_GB2312" w:hAnsi="仿宋_GB2312" w:eastAsia="仿宋_GB2312" w:cs="仿宋_GB2312"/>
          <w:b w:val="0"/>
          <w:bCs w:val="0"/>
          <w:sz w:val="32"/>
          <w:szCs w:val="32"/>
          <w:highlight w:val="none"/>
          <w:lang w:val="en-GB" w:eastAsia="zh-CN"/>
        </w:rPr>
        <w:t>”）</w:t>
      </w:r>
      <w:r>
        <w:rPr>
          <w:rFonts w:hint="eastAsia" w:ascii="仿宋_GB2312" w:hAnsi="仿宋_GB2312" w:eastAsia="仿宋_GB2312" w:cs="仿宋_GB2312"/>
          <w:b w:val="0"/>
          <w:bCs w:val="0"/>
          <w:sz w:val="32"/>
          <w:szCs w:val="32"/>
          <w:highlight w:val="none"/>
          <w:lang w:val="en-US" w:eastAsia="zh-CN"/>
        </w:rPr>
        <w:t>金融资产</w:t>
      </w:r>
      <w:r>
        <w:rPr>
          <w:rFonts w:hint="eastAsia" w:ascii="仿宋_GB2312" w:hAnsi="仿宋_GB2312" w:eastAsia="仿宋_GB2312" w:cs="仿宋_GB2312"/>
          <w:sz w:val="32"/>
          <w:szCs w:val="32"/>
          <w:highlight w:val="none"/>
          <w:lang w:val="en-US" w:eastAsia="zh-CN"/>
        </w:rPr>
        <w:t>的利息收入</w:t>
      </w:r>
      <w:r>
        <w:rPr>
          <w:rFonts w:hint="eastAsia" w:ascii="仿宋_GB2312" w:hAnsi="仿宋_GB2312" w:eastAsia="仿宋_GB2312" w:cs="仿宋_GB2312"/>
          <w:sz w:val="32"/>
          <w:szCs w:val="32"/>
          <w:highlight w:val="none"/>
          <w:lang w:val="en-GB"/>
        </w:rPr>
        <w:t>、股息红利收入</w:t>
      </w:r>
      <w:r>
        <w:rPr>
          <w:rFonts w:hint="eastAsia" w:ascii="仿宋_GB2312" w:hAnsi="仿宋_GB2312" w:eastAsia="仿宋_GB2312" w:cs="仿宋_GB2312"/>
          <w:sz w:val="32"/>
          <w:szCs w:val="32"/>
          <w:highlight w:val="none"/>
          <w:lang w:val="en-GB" w:eastAsia="zh-CN"/>
        </w:rPr>
        <w:t>，</w:t>
      </w:r>
      <w:r>
        <w:rPr>
          <w:rFonts w:hint="eastAsia" w:ascii="仿宋_GB2312" w:hAnsi="仿宋_GB2312" w:eastAsia="仿宋_GB2312" w:cs="仿宋_GB2312"/>
          <w:sz w:val="32"/>
          <w:szCs w:val="32"/>
          <w:highlight w:val="none"/>
          <w:lang w:val="en-US" w:eastAsia="zh-CN"/>
        </w:rPr>
        <w:t>以及</w:t>
      </w:r>
      <w:r>
        <w:rPr>
          <w:rFonts w:hint="eastAsia" w:ascii="仿宋_GB2312" w:hAnsi="仿宋_GB2312" w:eastAsia="仿宋_GB2312" w:cs="仿宋_GB2312"/>
          <w:sz w:val="32"/>
          <w:szCs w:val="32"/>
          <w:highlight w:val="none"/>
          <w:lang w:val="en-GB"/>
        </w:rPr>
        <w:t>投资性房地产租金收入</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eastAsia="zh-CN"/>
        </w:rPr>
        <w:t>，并扣除利息支出</w:t>
      </w:r>
      <w:r>
        <w:rPr>
          <w:rFonts w:hint="eastAsia" w:ascii="仿宋_GB2312" w:hAnsi="仿宋_GB2312" w:eastAsia="仿宋_GB2312" w:cs="仿宋_GB2312"/>
          <w:sz w:val="32"/>
          <w:szCs w:val="32"/>
          <w:highlight w:val="none"/>
        </w:rPr>
        <w:t>。</w:t>
      </w:r>
    </w:p>
    <w:p>
      <w:pPr>
        <w:widowControl w:val="0"/>
        <w:numPr>
          <w:ilvl w:val="255"/>
          <w:numId w:val="0"/>
        </w:numPr>
        <w:adjustRightInd w:val="0"/>
        <w:spacing w:beforeLines="0" w:afterLines="0" w:line="580" w:lineRule="exact"/>
        <w:ind w:firstLine="640"/>
        <w:contextualSpacing/>
        <w:outlineLvl w:val="2"/>
        <w:rPr>
          <w:rFonts w:hint="eastAsia" w:ascii="楷体" w:hAnsi="楷体" w:eastAsia="楷体" w:cs="楷体"/>
          <w:b w:val="0"/>
          <w:bCs w:val="0"/>
          <w:sz w:val="32"/>
          <w:szCs w:val="32"/>
          <w:highlight w:val="none"/>
          <w:lang w:val="en-GB" w:eastAsia="zh-CN"/>
        </w:rPr>
      </w:pP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三</w:t>
      </w:r>
      <w:r>
        <w:rPr>
          <w:rFonts w:hint="eastAsia" w:ascii="楷体_GB2312" w:hAnsi="楷体_GB2312" w:eastAsia="楷体_GB2312" w:cs="楷体_GB2312"/>
          <w:b w:val="0"/>
          <w:bCs w:val="0"/>
          <w:sz w:val="32"/>
          <w:szCs w:val="32"/>
          <w:highlight w:val="none"/>
          <w:lang w:val="en-GB" w:eastAsia="zh-CN"/>
        </w:rPr>
        <w:t>）</w:t>
      </w:r>
      <w:r>
        <w:rPr>
          <w:rFonts w:hint="eastAsia" w:ascii="楷体_GB2312" w:hAnsi="楷体_GB2312" w:eastAsia="楷体_GB2312" w:cs="楷体_GB2312"/>
          <w:b w:val="0"/>
          <w:bCs w:val="0"/>
          <w:sz w:val="32"/>
          <w:szCs w:val="32"/>
          <w:highlight w:val="none"/>
          <w:lang w:val="en-GB"/>
        </w:rPr>
        <w:t>宏观经济压力情景下</w:t>
      </w:r>
      <w:r>
        <w:rPr>
          <w:rFonts w:hint="eastAsia" w:ascii="楷体_GB2312" w:hAnsi="楷体_GB2312" w:eastAsia="楷体_GB2312" w:cs="楷体_GB2312"/>
          <w:b w:val="0"/>
          <w:bCs w:val="0"/>
          <w:sz w:val="32"/>
          <w:szCs w:val="32"/>
          <w:highlight w:val="none"/>
          <w:lang w:val="en-GB" w:eastAsia="zh-CN"/>
        </w:rPr>
        <w:t>利差一</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衡量财产保险公司在宏观经济形势恶化情景下，整体投资收益水平能否覆盖公司的整体业务成本。</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宏观经济压力情景下</w:t>
      </w:r>
      <w:r>
        <w:rPr>
          <w:rFonts w:hint="eastAsia" w:ascii="仿宋_GB2312" w:hAnsi="Times New Roman" w:eastAsia="仿宋_GB2312" w:cs="Times New Roman"/>
          <w:sz w:val="32"/>
          <w:szCs w:val="32"/>
          <w:highlight w:val="none"/>
          <w:lang w:eastAsia="zh-CN"/>
        </w:rPr>
        <w:t>利差一</w:t>
      </w:r>
      <w:r>
        <w:rPr>
          <w:rFonts w:hint="eastAsia" w:ascii="仿宋_GB2312" w:hAnsi="Times New Roman" w:eastAsia="仿宋_GB2312" w:cs="Times New Roman"/>
          <w:sz w:val="32"/>
          <w:szCs w:val="32"/>
          <w:highlight w:val="none"/>
        </w:rPr>
        <w:t>=宏观压力情景下综合投资收益率-宏观压力情景下负债资金成本率</w:t>
      </w:r>
    </w:p>
    <w:p>
      <w:pPr>
        <w:keepNext w:val="0"/>
        <w:keepLines w:val="0"/>
        <w:pageBreakBefore w:val="0"/>
        <w:widowControl w:val="0"/>
        <w:numPr>
          <w:ilvl w:val="255"/>
          <w:numId w:val="0"/>
        </w:numPr>
        <w:kinsoku/>
        <w:wordWrap/>
        <w:overflowPunct/>
        <w:topLinePunct w:val="0"/>
        <w:autoSpaceDE/>
        <w:autoSpaceDN/>
        <w:bidi w:val="0"/>
        <w:adjustRightInd w:val="0"/>
        <w:snapToGrid/>
        <w:spacing w:beforeLines="0" w:afterLines="0" w:line="580" w:lineRule="exact"/>
        <w:ind w:firstLine="640"/>
        <w:contextualSpacing/>
        <w:textAlignment w:val="auto"/>
        <w:outlineLvl w:val="2"/>
        <w:rPr>
          <w:rFonts w:hint="eastAsia" w:ascii="楷体" w:hAnsi="楷体" w:eastAsia="楷体" w:cs="楷体"/>
          <w:b w:val="0"/>
          <w:sz w:val="32"/>
          <w:szCs w:val="32"/>
          <w:highlight w:val="none"/>
          <w:lang w:val="en-GB" w:eastAsia="zh-CN"/>
        </w:rPr>
      </w:pPr>
      <w:r>
        <w:rPr>
          <w:rFonts w:hint="eastAsia" w:ascii="楷体_GB2312" w:hAnsi="楷体_GB2312" w:eastAsia="楷体_GB2312" w:cs="楷体_GB2312"/>
          <w:b w:val="0"/>
          <w:sz w:val="32"/>
          <w:szCs w:val="32"/>
          <w:highlight w:val="none"/>
          <w:lang w:val="en-GB" w:eastAsia="zh-CN"/>
        </w:rPr>
        <w:t>（</w:t>
      </w:r>
      <w:r>
        <w:rPr>
          <w:rFonts w:hint="eastAsia" w:ascii="楷体_GB2312" w:hAnsi="楷体_GB2312" w:eastAsia="楷体_GB2312" w:cs="楷体_GB2312"/>
          <w:b w:val="0"/>
          <w:sz w:val="32"/>
          <w:szCs w:val="32"/>
          <w:highlight w:val="none"/>
          <w:lang w:val="en-GB"/>
        </w:rPr>
        <w:t>四</w:t>
      </w:r>
      <w:r>
        <w:rPr>
          <w:rFonts w:hint="eastAsia" w:ascii="楷体_GB2312" w:hAnsi="楷体_GB2312" w:eastAsia="楷体_GB2312" w:cs="楷体_GB2312"/>
          <w:b w:val="0"/>
          <w:sz w:val="32"/>
          <w:szCs w:val="32"/>
          <w:highlight w:val="none"/>
          <w:lang w:val="en-GB" w:eastAsia="zh-CN"/>
        </w:rPr>
        <w:t>）</w:t>
      </w:r>
      <w:r>
        <w:rPr>
          <w:rFonts w:hint="eastAsia" w:ascii="楷体_GB2312" w:hAnsi="楷体_GB2312" w:eastAsia="楷体_GB2312" w:cs="楷体_GB2312"/>
          <w:b w:val="0"/>
          <w:sz w:val="32"/>
          <w:szCs w:val="32"/>
          <w:highlight w:val="none"/>
          <w:lang w:val="en-GB"/>
        </w:rPr>
        <w:t>保险业务压力情景下</w:t>
      </w:r>
      <w:r>
        <w:rPr>
          <w:rFonts w:hint="eastAsia" w:ascii="楷体_GB2312" w:hAnsi="楷体_GB2312" w:eastAsia="楷体_GB2312" w:cs="楷体_GB2312"/>
          <w:b w:val="0"/>
          <w:sz w:val="32"/>
          <w:szCs w:val="32"/>
          <w:highlight w:val="none"/>
          <w:lang w:val="en-GB" w:eastAsia="zh-CN"/>
        </w:rPr>
        <w:t>利差一</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rPr>
          <w:rFonts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衡量财产保险公司在保险业务恶化情景下，整体投资收益水平能否覆盖公司的整体业务成本。</w:t>
      </w:r>
    </w:p>
    <w:p>
      <w:pPr>
        <w:keepNext w:val="0"/>
        <w:keepLines w:val="0"/>
        <w:pageBreakBefore w:val="0"/>
        <w:kinsoku/>
        <w:wordWrap/>
        <w:overflowPunct/>
        <w:topLinePunct w:val="0"/>
        <w:autoSpaceDE/>
        <w:autoSpaceDN/>
        <w:bidi w:val="0"/>
        <w:snapToGrid/>
        <w:spacing w:beforeLines="0" w:afterLines="0" w:line="580" w:lineRule="exact"/>
        <w:ind w:firstLine="640" w:firstLineChars="200"/>
        <w:textAlignment w:val="auto"/>
      </w:pPr>
      <w:r>
        <w:rPr>
          <w:rFonts w:hint="eastAsia" w:ascii="仿宋_GB2312" w:hAnsi="Times New Roman" w:eastAsia="仿宋_GB2312" w:cs="Times New Roman"/>
          <w:sz w:val="32"/>
          <w:szCs w:val="32"/>
          <w:highlight w:val="none"/>
        </w:rPr>
        <w:t>保险业务压力情景下</w:t>
      </w:r>
      <w:r>
        <w:rPr>
          <w:rFonts w:hint="eastAsia" w:ascii="仿宋_GB2312" w:hAnsi="Times New Roman" w:eastAsia="仿宋_GB2312" w:cs="Times New Roman"/>
          <w:sz w:val="32"/>
          <w:szCs w:val="32"/>
          <w:highlight w:val="none"/>
          <w:lang w:eastAsia="zh-CN"/>
        </w:rPr>
        <w:t>利差一</w:t>
      </w:r>
      <w:r>
        <w:rPr>
          <w:rFonts w:hint="eastAsia" w:ascii="仿宋_GB2312" w:hAnsi="Times New Roman" w:eastAsia="仿宋_GB2312" w:cs="Times New Roman"/>
          <w:sz w:val="32"/>
          <w:szCs w:val="32"/>
          <w:highlight w:val="none"/>
        </w:rPr>
        <w:t>=业务压力情景下综合投资收益率-业务压力情景下负债资金成本率</w:t>
      </w:r>
      <w:bookmarkEnd w:id="0"/>
      <w:bookmarkStart w:id="1" w:name="_GoBack"/>
      <w:bookmarkEnd w:id="1"/>
    </w:p>
    <w:sectPr>
      <w:footerReference r:id="rId3" w:type="default"/>
      <w:pgSz w:w="11906" w:h="16838"/>
      <w:pgMar w:top="1967" w:right="1474" w:bottom="1899"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MS Mincho">
    <w:altName w:val="Yu Gothic UI"/>
    <w:panose1 w:val="02020609040205080304"/>
    <w:charset w:val="80"/>
    <w:family w:val="auto"/>
    <w:pitch w:val="default"/>
    <w:sig w:usb0="00000000" w:usb1="00000000" w:usb2="00000012" w:usb3="00000000" w:csb0="4002009F" w:csb1="DFD7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Cambria Math">
    <w:panose1 w:val="02040503050406030204"/>
    <w:charset w:val="00"/>
    <w:family w:val="auto"/>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0" w:firstLineChars="0"/>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-133350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keepNext w:val="0"/>
                            <w:keepLines w:val="0"/>
                            <w:pageBreakBefore w:val="0"/>
                            <w:widowControl w:val="0"/>
                            <w:kinsoku/>
                            <w:wordWrap/>
                            <w:overflowPunct w:val="0"/>
                            <w:topLinePunct w:val="0"/>
                            <w:autoSpaceDE w:val="0"/>
                            <w:autoSpaceDN w:val="0"/>
                            <w:bidi w:val="0"/>
                            <w:adjustRightInd w:val="0"/>
                            <w:snapToGrid/>
                            <w:spacing w:line="471" w:lineRule="auto"/>
                            <w:ind w:left="0" w:leftChars="0"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10.5pt;height:144pt;width:144pt;mso-position-horizontal:outside;mso-position-horizontal-relative:margin;mso-wrap-style:none;z-index:251659264;mso-width-relative:page;mso-height-relative:page;" filled="f" stroked="f" coordsize="21600,21600" o:gfxdata="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5hK0+0wAAAAgBAAAPAAAAAAAAAAEAIAAAACIAAABkcnMvZG93bnJl&#10;di54bWxQSwECFAAUAAAACACHTuJABG+QoMkBAACZAwAADgAAAAAAAAABACAAAAAiAQAAZHJzL2Uy&#10;b0RvYy54bWxQSwUGAAAAAAYABgBZAQAAXQUAAAAA&#10;">
              <v:fill on="f" focussize="0,0"/>
              <v:stroke on="f"/>
              <v:imagedata o:title=""/>
              <o:lock v:ext="edit" aspectratio="f"/>
              <v:textbox inset="0mm,0mm,0mm,0mm" style="mso-fit-shape-to-text:t;">
                <w:txbxContent>
                  <w:p>
                    <w:pPr>
                      <w:pStyle w:val="3"/>
                      <w:keepNext w:val="0"/>
                      <w:keepLines w:val="0"/>
                      <w:pageBreakBefore w:val="0"/>
                      <w:widowControl w:val="0"/>
                      <w:kinsoku/>
                      <w:wordWrap/>
                      <w:overflowPunct w:val="0"/>
                      <w:topLinePunct w:val="0"/>
                      <w:autoSpaceDE w:val="0"/>
                      <w:autoSpaceDN w:val="0"/>
                      <w:bidi w:val="0"/>
                      <w:adjustRightInd w:val="0"/>
                      <w:snapToGrid/>
                      <w:spacing w:line="471" w:lineRule="auto"/>
                      <w:ind w:left="0" w:leftChars="0" w:right="210" w:rightChars="100" w:firstLine="280" w:firstLineChars="100"/>
                      <w:textAlignment w:val="baseline"/>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197421"/>
    <w:rsid w:val="2C8E1005"/>
    <w:rsid w:val="385619A4"/>
    <w:rsid w:val="385A3398"/>
    <w:rsid w:val="44DB2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0" w:line="560" w:lineRule="exact"/>
      <w:ind w:left="0" w:leftChars="0" w:firstLine="420" w:firstLineChars="200"/>
      <w:jc w:val="both"/>
    </w:pPr>
    <w:rPr>
      <w:rFonts w:ascii="Times New Roman" w:hAnsi="Times New Roman" w:eastAsia="宋体" w:cs="仿宋_GB2312"/>
      <w:kern w:val="2"/>
      <w:sz w:val="28"/>
      <w:szCs w:val="28"/>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 w:type="paragraph" w:styleId="9">
    <w:name w:val="List Paragraph"/>
    <w:basedOn w:val="1"/>
    <w:qFormat/>
    <w:uiPriority w:val="34"/>
    <w:pPr>
      <w:ind w:firstLine="420"/>
    </w:pPr>
  </w:style>
  <w:style w:type="paragraph" w:customStyle="1" w:styleId="10">
    <w:name w:val="Default"/>
    <w:qFormat/>
    <w:uiPriority w:val="0"/>
    <w:pPr>
      <w:autoSpaceDE w:val="0"/>
      <w:autoSpaceDN w:val="0"/>
      <w:adjustRightInd w:val="0"/>
      <w:ind w:firstLine="200" w:firstLineChars="200"/>
      <w:jc w:val="both"/>
    </w:pPr>
    <w:rPr>
      <w:rFonts w:ascii="宋体" w:eastAsia="宋体" w:cs="宋体" w:hAnsiTheme="minorHAnsi"/>
      <w:color w:val="000000"/>
      <w:kern w:val="2"/>
      <w:sz w:val="24"/>
      <w:szCs w:val="24"/>
      <w:lang w:val="en-GB"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6022</Words>
  <Characters>6100</Characters>
  <Lines>0</Lines>
  <Paragraphs>0</Paragraphs>
  <TotalTime>5</TotalTime>
  <ScaleCrop>false</ScaleCrop>
  <LinksUpToDate>false</LinksUpToDate>
  <CharactersWithSpaces>6102</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2026-08-28T01:23:00Z</dcterms:created>
  <dc:creator>creanylee</dc:creator>
  <cp:lastModifiedBy>zwcaib</cp:lastModifiedBy>
  <dcterms:modified xsi:type="dcterms:W3CDTF">2026-08-28T09:38:14Z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KSOTemplateDocerSaveRecord">
    <vt:lpwstr>eyJoZGlkIjoiN2YzNjBkOTgyNWQ1YTMxYzM3MzMwNWFiODNmOWIzYWMiLCJ1c2VySWQiOiIzNDM4OTEyNTAifQ==</vt:lpwstr>
  </property>
  <property fmtid="{D5CDD505-2E9C-101B-9397-08002B2CF9AE}" pid="4" name="ICV">
    <vt:lpwstr>32E1EEE754A64919A9A80326C2B9DACF</vt:lpwstr>
  </property>
</Properties>
</file>