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widowControl w:val="0"/>
        <w:spacing w:beforeLines="0" w:afterLines="0" w:line="560" w:lineRule="exact"/>
        <w:ind w:left="0" w:leftChars="0" w:firstLine="0" w:firstLineChars="0"/>
        <w:jc w:val="left"/>
        <w:rPr>
          <w:rFonts w:hint="eastAsia" w:ascii="黑体" w:hAnsi="黑体" w:eastAsia="黑体" w:cs="黑体"/>
          <w:sz w:val="32"/>
          <w:szCs w:val="32"/>
          <w:highlight w:val="none"/>
          <w:lang w:val="en-US"/>
        </w:rPr>
      </w:pPr>
      <w:bookmarkStart w:id="0" w:name="_GoBack"/>
      <w:bookmarkEnd w:id="0"/>
      <w:r>
        <w:rPr>
          <w:rFonts w:hint="eastAsia" w:ascii="黑体" w:hAnsi="黑体" w:eastAsia="黑体" w:cs="黑体"/>
          <w:sz w:val="32"/>
          <w:szCs w:val="32"/>
          <w:highlight w:val="none"/>
          <w:lang w:val="en-US" w:eastAsia="zh-CN"/>
        </w:rPr>
        <w:t>附件2</w:t>
      </w:r>
    </w:p>
    <w:p>
      <w:pPr>
        <w:widowControl w:val="0"/>
        <w:spacing w:beforeLines="0" w:afterLines="0" w:line="600" w:lineRule="exact"/>
        <w:ind w:firstLine="0"/>
        <w:jc w:val="left"/>
        <w:rPr>
          <w:sz w:val="36"/>
          <w:szCs w:val="36"/>
          <w:highlight w:val="none"/>
        </w:rPr>
      </w:pPr>
    </w:p>
    <w:p>
      <w:pPr>
        <w:shd w:val="clear" w:color="auto" w:fill="auto"/>
        <w:spacing w:beforeLines="0" w:after="0" w:afterLines="0" w:afterAutospacing="0" w:line="600" w:lineRule="exact"/>
        <w:ind w:right="0" w:firstLine="0" w:firstLineChars="0"/>
        <w:jc w:val="center"/>
        <w:rPr>
          <w:rFonts w:hint="eastAsia" w:ascii="方正小标宋简体" w:hAnsi="方正小标宋简体" w:eastAsia="方正小标宋简体" w:cs="方正小标宋简体"/>
          <w:b w:val="0"/>
          <w:bCs w:val="0"/>
          <w:kern w:val="0"/>
          <w:sz w:val="44"/>
          <w:szCs w:val="44"/>
          <w:highlight w:val="none"/>
        </w:rPr>
      </w:pPr>
      <w:r>
        <w:rPr>
          <w:rFonts w:hint="eastAsia" w:ascii="方正小标宋简体" w:hAnsi="方正小标宋简体" w:eastAsia="方正小标宋简体" w:cs="方正小标宋简体"/>
          <w:b w:val="0"/>
          <w:bCs w:val="0"/>
          <w:kern w:val="0"/>
          <w:sz w:val="44"/>
          <w:szCs w:val="44"/>
          <w:highlight w:val="none"/>
        </w:rPr>
        <w:t>人身保险公司资产负债管理监管指标</w:t>
      </w:r>
    </w:p>
    <w:p>
      <w:pPr>
        <w:shd w:val="clear" w:color="auto" w:fill="auto"/>
        <w:spacing w:beforeLines="0" w:after="0" w:afterLines="0" w:afterAutospacing="0" w:line="600" w:lineRule="exact"/>
        <w:ind w:right="0" w:firstLine="0" w:firstLineChars="0"/>
        <w:jc w:val="center"/>
        <w:rPr>
          <w:rFonts w:hint="eastAsia" w:ascii="方正小标宋简体" w:hAnsi="方正小标宋简体" w:eastAsia="方正小标宋简体" w:cs="方正小标宋简体"/>
          <w:b w:val="0"/>
          <w:bCs w:val="0"/>
          <w:kern w:val="0"/>
          <w:sz w:val="44"/>
          <w:szCs w:val="44"/>
          <w:highlight w:val="none"/>
          <w:lang w:val="en-US"/>
        </w:rPr>
      </w:pPr>
      <w:r>
        <w:rPr>
          <w:rFonts w:hint="eastAsia" w:ascii="方正小标宋简体" w:hAnsi="方正小标宋简体" w:eastAsia="方正小标宋简体" w:cs="方正小标宋简体"/>
          <w:b w:val="0"/>
          <w:bCs w:val="0"/>
          <w:kern w:val="0"/>
          <w:sz w:val="44"/>
          <w:szCs w:val="44"/>
          <w:highlight w:val="none"/>
          <w:lang w:val="en-US"/>
        </w:rPr>
        <w:t>和监测指标</w:t>
      </w:r>
    </w:p>
    <w:p>
      <w:pPr>
        <w:shd w:val="clear" w:color="auto" w:fill="auto"/>
        <w:spacing w:beforeLines="0" w:after="0" w:afterLines="0" w:afterAutospacing="0" w:line="600" w:lineRule="exact"/>
        <w:ind w:right="0" w:firstLine="0" w:firstLineChars="0"/>
        <w:jc w:val="center"/>
        <w:rPr>
          <w:rFonts w:hint="eastAsia" w:ascii="方正小标宋简体" w:hAnsi="方正小标宋简体" w:eastAsia="方正小标宋简体" w:cs="方正小标宋简体"/>
          <w:b w:val="0"/>
          <w:bCs w:val="0"/>
          <w:kern w:val="0"/>
          <w:sz w:val="44"/>
          <w:szCs w:val="44"/>
          <w:highlight w:val="none"/>
          <w:lang w:val="en-US"/>
        </w:rPr>
      </w:pPr>
    </w:p>
    <w:p>
      <w:pPr>
        <w:pStyle w:val="9"/>
        <w:keepNext w:val="0"/>
        <w:keepLines w:val="0"/>
        <w:pageBreakBefore w:val="0"/>
        <w:widowControl/>
        <w:kinsoku/>
        <w:wordWrap/>
        <w:overflowPunct/>
        <w:topLinePunct w:val="0"/>
        <w:bidi w:val="0"/>
        <w:adjustRightInd w:val="0"/>
        <w:snapToGrid/>
        <w:spacing w:beforeLines="0" w:afterLines="0" w:line="580" w:lineRule="exact"/>
        <w:ind w:firstLine="640" w:firstLineChars="200"/>
        <w:contextualSpacing/>
        <w:textAlignment w:val="auto"/>
        <w:outlineLvl w:val="1"/>
        <w:rPr>
          <w:rFonts w:hint="eastAsia" w:ascii="黑体" w:hAnsi="黑体" w:eastAsia="黑体" w:cs="黑体"/>
          <w:bCs/>
          <w:sz w:val="32"/>
          <w:szCs w:val="32"/>
          <w:highlight w:val="none"/>
          <w:lang w:val="en-US"/>
        </w:rPr>
      </w:pPr>
      <w:r>
        <w:rPr>
          <w:rFonts w:hint="eastAsia" w:ascii="黑体" w:hAnsi="黑体" w:eastAsia="黑体" w:cs="黑体"/>
          <w:bCs/>
          <w:sz w:val="32"/>
          <w:szCs w:val="32"/>
          <w:highlight w:val="none"/>
          <w:lang w:val="en-US" w:eastAsia="zh-CN"/>
        </w:rPr>
        <w:t>一、</w:t>
      </w:r>
      <w:r>
        <w:rPr>
          <w:rFonts w:hint="eastAsia" w:ascii="黑体" w:hAnsi="黑体" w:eastAsia="黑体" w:cs="黑体"/>
          <w:bCs/>
          <w:sz w:val="32"/>
          <w:szCs w:val="32"/>
          <w:highlight w:val="none"/>
          <w:lang w:val="en-US"/>
        </w:rPr>
        <w:t>监管指标</w:t>
      </w:r>
    </w:p>
    <w:p>
      <w:pPr>
        <w:keepNext w:val="0"/>
        <w:keepLines w:val="0"/>
        <w:pageBreakBefore w:val="0"/>
        <w:numPr>
          <w:ilvl w:val="255"/>
          <w:numId w:val="0"/>
        </w:numPr>
        <w:kinsoku/>
        <w:wordWrap/>
        <w:overflowPunct/>
        <w:topLinePunct w:val="0"/>
        <w:bidi w:val="0"/>
        <w:snapToGrid/>
        <w:spacing w:line="580" w:lineRule="exact"/>
        <w:ind w:firstLine="640" w:firstLineChars="200"/>
        <w:textAlignment w:val="auto"/>
        <w:outlineLvl w:val="2"/>
        <w:rPr>
          <w:rFonts w:hint="eastAsia" w:ascii="楷体" w:hAnsi="楷体" w:eastAsia="楷体" w:cs="楷体"/>
          <w:bCs w:val="0"/>
          <w:sz w:val="32"/>
          <w:szCs w:val="32"/>
          <w:highlight w:val="none"/>
          <w:lang w:val="en-GB" w:eastAsia="zh-CN"/>
        </w:rPr>
      </w:pPr>
      <w:r>
        <w:rPr>
          <w:rFonts w:hint="eastAsia" w:ascii="楷体_GB2312" w:hAnsi="楷体_GB2312" w:eastAsia="楷体_GB2312" w:cs="楷体_GB2312"/>
          <w:bCs w:val="0"/>
          <w:sz w:val="32"/>
          <w:szCs w:val="32"/>
          <w:highlight w:val="none"/>
          <w:lang w:val="en-GB" w:eastAsia="zh-CN"/>
        </w:rPr>
        <w:t>（一）利率风险对冲率</w:t>
      </w:r>
    </w:p>
    <w:p>
      <w:pPr>
        <w:keepNext w:val="0"/>
        <w:keepLines w:val="0"/>
        <w:pageBreakBefore w:val="0"/>
        <w:widowControl/>
        <w:numPr>
          <w:ilvl w:val="-1"/>
          <w:numId w:val="0"/>
        </w:numPr>
        <w:kinsoku/>
        <w:wordWrap/>
        <w:overflowPunct/>
        <w:topLinePunct w:val="0"/>
        <w:bidi w:val="0"/>
        <w:adjustRightInd w:val="0"/>
        <w:snapToGrid/>
        <w:spacing w:line="580" w:lineRule="exact"/>
        <w:ind w:leftChars="0" w:firstLine="640" w:firstLineChars="200"/>
        <w:textAlignment w:val="auto"/>
        <w:outlineLvl w:val="9"/>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衡量利</w:t>
      </w:r>
      <w:r>
        <w:rPr>
          <w:rFonts w:hint="eastAsia" w:ascii="仿宋_GB2312" w:hAnsi="仿宋_GB2312" w:eastAsia="仿宋_GB2312" w:cs="仿宋_GB2312"/>
          <w:b w:val="0"/>
          <w:bCs/>
          <w:sz w:val="32"/>
          <w:szCs w:val="32"/>
          <w:highlight w:val="none"/>
        </w:rPr>
        <w:t>率曲线</w:t>
      </w:r>
      <w:r>
        <w:rPr>
          <w:rFonts w:hint="eastAsia" w:ascii="仿宋_GB2312" w:hAnsi="仿宋_GB2312" w:eastAsia="仿宋_GB2312" w:cs="仿宋_GB2312"/>
          <w:b w:val="0"/>
          <w:bCs/>
          <w:sz w:val="32"/>
          <w:szCs w:val="32"/>
          <w:highlight w:val="none"/>
          <w:lang w:val="en-US" w:eastAsia="zh-CN"/>
        </w:rPr>
        <w:t>上下小幅变动的情况下</w:t>
      </w:r>
      <w:r>
        <w:rPr>
          <w:rFonts w:hint="eastAsia" w:ascii="仿宋_GB2312" w:hAnsi="仿宋_GB2312" w:eastAsia="仿宋_GB2312" w:cs="仿宋_GB2312"/>
          <w:b w:val="0"/>
          <w:bCs/>
          <w:sz w:val="32"/>
          <w:szCs w:val="32"/>
          <w:highlight w:val="none"/>
        </w:rPr>
        <w:t>，公司现金流流入</w:t>
      </w:r>
      <w:r>
        <w:rPr>
          <w:rFonts w:hint="eastAsia" w:ascii="仿宋_GB2312" w:hAnsi="仿宋_GB2312" w:eastAsia="仿宋_GB2312" w:cs="仿宋_GB2312"/>
          <w:b w:val="0"/>
          <w:bCs/>
          <w:sz w:val="32"/>
          <w:szCs w:val="32"/>
          <w:highlight w:val="none"/>
          <w:lang w:eastAsia="zh-CN"/>
        </w:rPr>
        <w:t>价值变动幅度对</w:t>
      </w:r>
      <w:r>
        <w:rPr>
          <w:rFonts w:hint="eastAsia" w:ascii="仿宋_GB2312" w:hAnsi="仿宋_GB2312" w:eastAsia="仿宋_GB2312" w:cs="仿宋_GB2312"/>
          <w:b w:val="0"/>
          <w:bCs/>
          <w:sz w:val="32"/>
          <w:szCs w:val="32"/>
          <w:highlight w:val="none"/>
        </w:rPr>
        <w:t>现金流流出</w:t>
      </w:r>
      <w:r>
        <w:rPr>
          <w:rFonts w:hint="eastAsia" w:ascii="仿宋_GB2312" w:hAnsi="仿宋_GB2312" w:eastAsia="仿宋_GB2312" w:cs="仿宋_GB2312"/>
          <w:b w:val="0"/>
          <w:bCs/>
          <w:sz w:val="32"/>
          <w:szCs w:val="32"/>
          <w:highlight w:val="none"/>
          <w:lang w:eastAsia="zh-CN"/>
        </w:rPr>
        <w:t>价值变动幅度</w:t>
      </w:r>
      <w:r>
        <w:rPr>
          <w:rFonts w:hint="eastAsia" w:ascii="仿宋_GB2312" w:hAnsi="仿宋_GB2312" w:eastAsia="仿宋_GB2312" w:cs="仿宋_GB2312"/>
          <w:b w:val="0"/>
          <w:bCs/>
          <w:sz w:val="32"/>
          <w:szCs w:val="32"/>
          <w:highlight w:val="none"/>
        </w:rPr>
        <w:t>的对冲情况</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反映公司整体利率风险敞口</w:t>
      </w:r>
      <w:r>
        <w:rPr>
          <w:rFonts w:hint="eastAsia" w:ascii="仿宋_GB2312" w:hAnsi="仿宋_GB2312" w:eastAsia="仿宋_GB2312" w:cs="仿宋_GB2312"/>
          <w:b w:val="0"/>
          <w:bCs/>
          <w:sz w:val="32"/>
          <w:szCs w:val="32"/>
          <w:highlight w:val="none"/>
        </w:rPr>
        <w:t>。</w:t>
      </w:r>
    </w:p>
    <w:p>
      <w:pPr>
        <w:keepNext w:val="0"/>
        <w:keepLines w:val="0"/>
        <w:pageBreakBefore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b w:val="0"/>
          <w:sz w:val="32"/>
          <w:szCs w:val="32"/>
          <w:highlight w:val="none"/>
        </w:rPr>
      </w:pPr>
      <w:r>
        <w:rPr>
          <w:rFonts w:hint="eastAsia" w:ascii="仿宋_GB2312" w:hAnsi="仿宋_GB2312" w:eastAsia="仿宋_GB2312" w:cs="仿宋_GB2312"/>
          <w:b w:val="0"/>
          <w:bCs w:val="0"/>
          <w:sz w:val="32"/>
          <w:szCs w:val="32"/>
          <w:highlight w:val="none"/>
          <w:lang w:val="en-US" w:eastAsia="zh-CN"/>
        </w:rPr>
        <w:t>利率风险对冲</w:t>
      </w:r>
      <w:r>
        <w:rPr>
          <w:rFonts w:hint="eastAsia" w:ascii="仿宋_GB2312" w:hAnsi="仿宋_GB2312" w:eastAsia="仿宋_GB2312" w:cs="仿宋_GB2312"/>
          <w:b w:val="0"/>
          <w:bCs w:val="0"/>
          <w:sz w:val="32"/>
          <w:szCs w:val="32"/>
          <w:highlight w:val="none"/>
          <w:shd w:val="clear" w:fill="FFFFFF"/>
          <w:lang w:val="en-US" w:eastAsia="zh-CN"/>
        </w:rPr>
        <w:t>率</w:t>
      </w:r>
      <w:r>
        <w:rPr>
          <w:rFonts w:hint="eastAsia" w:ascii="仿宋_GB2312" w:hAnsi="仿宋_GB2312" w:eastAsia="仿宋_GB2312" w:cs="仿宋_GB2312"/>
          <w:b w:val="0"/>
          <w:bCs w:val="0"/>
          <w:sz w:val="32"/>
          <w:szCs w:val="32"/>
          <w:highlight w:val="none"/>
          <w:lang w:val="en-US" w:eastAsia="zh-CN"/>
        </w:rPr>
        <w:t>=现金流流入利率敏感度</w:t>
      </w:r>
      <w:r>
        <w:rPr>
          <w:rFonts w:hint="eastAsia" w:ascii="仿宋_GB2312" w:hAnsi="仿宋_GB2312" w:eastAsia="仿宋_GB2312" w:cs="仿宋_GB2312"/>
          <w:b w:val="0"/>
          <w:sz w:val="32"/>
          <w:szCs w:val="32"/>
          <w:highlight w:val="none"/>
          <w:lang w:eastAsia="zh-CN"/>
        </w:rPr>
        <w:t>÷</w:t>
      </w:r>
      <w:r>
        <w:rPr>
          <w:rFonts w:hint="eastAsia" w:ascii="仿宋_GB2312" w:hAnsi="仿宋_GB2312" w:eastAsia="仿宋_GB2312" w:cs="仿宋_GB2312"/>
          <w:b w:val="0"/>
          <w:sz w:val="32"/>
          <w:szCs w:val="32"/>
          <w:highlight w:val="none"/>
        </w:rPr>
        <w:t>现金流流出利率敏感度</w:t>
      </w:r>
    </w:p>
    <w:p>
      <w:pPr>
        <w:keepNext w:val="0"/>
        <w:keepLines w:val="0"/>
        <w:pageBreakBefore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其中，</w:t>
      </w:r>
      <w:r>
        <w:rPr>
          <w:rFonts w:hint="eastAsia" w:ascii="仿宋_GB2312" w:hAnsi="仿宋_GB2312" w:eastAsia="仿宋_GB2312" w:cs="仿宋_GB2312"/>
          <w:sz w:val="32"/>
          <w:szCs w:val="32"/>
          <w:highlight w:val="none"/>
          <w:lang w:val="en-US" w:eastAsia="zh-CN"/>
        </w:rPr>
        <w:t>现金流流出对应</w:t>
      </w:r>
      <w:r>
        <w:rPr>
          <w:rFonts w:hint="eastAsia" w:ascii="仿宋_GB2312" w:hAnsi="仿宋_GB2312" w:eastAsia="仿宋_GB2312" w:cs="仿宋_GB2312"/>
          <w:sz w:val="32"/>
          <w:szCs w:val="32"/>
          <w:highlight w:val="none"/>
          <w:lang w:val="en-US"/>
        </w:rPr>
        <w:t>负债端全口径保险业务</w:t>
      </w:r>
      <w:r>
        <w:rPr>
          <w:rFonts w:hint="eastAsia" w:ascii="仿宋_GB2312" w:hAnsi="仿宋_GB2312" w:eastAsia="仿宋_GB2312" w:cs="仿宋_GB2312"/>
          <w:sz w:val="32"/>
          <w:szCs w:val="32"/>
          <w:highlight w:val="none"/>
          <w:lang w:val="en-US" w:eastAsia="zh-CN"/>
        </w:rPr>
        <w:t>以及次级债、资本补充债和无固定期限资本债等负债现金流流出；现金流流入对应</w:t>
      </w:r>
      <w:r>
        <w:rPr>
          <w:rFonts w:hint="eastAsia" w:ascii="仿宋_GB2312" w:hAnsi="仿宋_GB2312" w:eastAsia="仿宋_GB2312" w:cs="仿宋_GB2312"/>
          <w:sz w:val="32"/>
          <w:szCs w:val="32"/>
          <w:highlight w:val="none"/>
          <w:lang w:val="en-US"/>
        </w:rPr>
        <w:t>资产端可计算现金流的现金及流动性管理工具</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rPr>
        <w:t>固定收益类</w:t>
      </w:r>
      <w:r>
        <w:rPr>
          <w:rFonts w:hint="eastAsia" w:ascii="仿宋_GB2312" w:hAnsi="仿宋_GB2312" w:eastAsia="仿宋_GB2312" w:cs="仿宋_GB2312"/>
          <w:sz w:val="32"/>
          <w:szCs w:val="32"/>
          <w:highlight w:val="none"/>
          <w:lang w:val="en-US" w:eastAsia="zh-CN"/>
        </w:rPr>
        <w:t>投资</w:t>
      </w:r>
      <w:r>
        <w:rPr>
          <w:rFonts w:hint="eastAsia" w:ascii="仿宋_GB2312" w:hAnsi="仿宋_GB2312" w:eastAsia="仿宋_GB2312" w:cs="仿宋_GB2312"/>
          <w:sz w:val="32"/>
          <w:szCs w:val="32"/>
          <w:highlight w:val="none"/>
          <w:lang w:val="en-US"/>
        </w:rPr>
        <w:t>资产</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rPr>
        <w:t>利率类金融衍生品</w:t>
      </w:r>
      <w:r>
        <w:rPr>
          <w:rFonts w:hint="eastAsia" w:ascii="仿宋_GB2312" w:hAnsi="仿宋_GB2312" w:eastAsia="仿宋_GB2312" w:cs="仿宋_GB2312"/>
          <w:sz w:val="32"/>
          <w:szCs w:val="32"/>
          <w:highlight w:val="none"/>
          <w:lang w:val="en-US" w:eastAsia="zh-CN"/>
        </w:rPr>
        <w:t>，以及业务端现金流流入。</w:t>
      </w:r>
      <w:r>
        <w:rPr>
          <w:rFonts w:hint="eastAsia" w:ascii="仿宋_GB2312" w:hAnsi="仿宋_GB2312" w:eastAsia="仿宋_GB2312" w:cs="仿宋_GB2312"/>
          <w:sz w:val="32"/>
          <w:szCs w:val="32"/>
          <w:highlight w:val="none"/>
          <w:lang w:val="en-US"/>
        </w:rPr>
        <w:t>因此，</w:t>
      </w:r>
      <w:r>
        <w:rPr>
          <w:rFonts w:hint="eastAsia" w:ascii="仿宋_GB2312" w:hAnsi="仿宋_GB2312" w:eastAsia="仿宋_GB2312" w:cs="仿宋_GB2312"/>
          <w:sz w:val="32"/>
          <w:szCs w:val="32"/>
          <w:highlight w:val="none"/>
          <w:lang w:val="en-US" w:eastAsia="zh-CN"/>
        </w:rPr>
        <w:t>计算</w:t>
      </w:r>
      <w:r>
        <w:rPr>
          <w:rFonts w:hint="eastAsia" w:ascii="仿宋_GB2312" w:hAnsi="仿宋_GB2312" w:eastAsia="仿宋_GB2312" w:cs="仿宋_GB2312"/>
          <w:b w:val="0"/>
          <w:bCs w:val="0"/>
          <w:sz w:val="32"/>
          <w:szCs w:val="32"/>
          <w:highlight w:val="none"/>
          <w:lang w:val="en-US" w:eastAsia="zh-CN"/>
        </w:rPr>
        <w:t>现金流流入利率敏感度时</w:t>
      </w:r>
      <w:r>
        <w:rPr>
          <w:rFonts w:hint="eastAsia" w:ascii="仿宋_GB2312" w:hAnsi="仿宋_GB2312" w:eastAsia="仿宋_GB2312" w:cs="仿宋_GB2312"/>
          <w:sz w:val="32"/>
          <w:szCs w:val="32"/>
          <w:highlight w:val="none"/>
          <w:lang w:val="en-US"/>
        </w:rPr>
        <w:t>需要进行规模调整。</w:t>
      </w:r>
    </w:p>
    <w:p>
      <w:pPr>
        <w:keepNext w:val="0"/>
        <w:keepLines w:val="0"/>
        <w:pageBreakBefore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现金流流入利率敏感度=[（资产现金流有效久期×资产现金流的折现值+负债现金流流入有效久期×负债现金流流入的折现值+利率类金融衍生品买入合约的有效久期×利率类金融衍生品买入合约的名义本金之和-利率类金融衍生品卖出合约的有效久期×利率类金融衍生品卖出合约的名义本金之和）×1%]÷负债现金流流出的折现值</w:t>
      </w:r>
    </w:p>
    <w:p>
      <w:pPr>
        <w:pStyle w:val="10"/>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sz w:val="32"/>
          <w:szCs w:val="32"/>
          <w:highlight w:val="none"/>
        </w:rPr>
        <w:t>现金流流出利率敏感度</w:t>
      </w:r>
      <w:r>
        <w:rPr>
          <w:rFonts w:hint="eastAsia" w:ascii="仿宋_GB2312" w:hAnsi="仿宋_GB2312" w:eastAsia="仿宋_GB2312" w:cs="仿宋_GB2312"/>
          <w:b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负债现金流流出有效久期×1%</w:t>
      </w:r>
    </w:p>
    <w:p>
      <w:pPr>
        <w:keepNext w:val="0"/>
        <w:keepLines w:val="0"/>
        <w:pageBreakBefore w:val="0"/>
        <w:widowControl/>
        <w:numPr>
          <w:ilvl w:val="255"/>
          <w:numId w:val="0"/>
        </w:numPr>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Cs w:val="0"/>
          <w:sz w:val="32"/>
          <w:szCs w:val="32"/>
          <w:highlight w:val="none"/>
          <w:lang w:val="en-GB"/>
        </w:rPr>
      </w:pPr>
      <w:r>
        <w:rPr>
          <w:rFonts w:hint="eastAsia" w:ascii="楷体_GB2312" w:hAnsi="楷体_GB2312" w:eastAsia="楷体_GB2312" w:cs="楷体_GB2312"/>
          <w:bCs w:val="0"/>
          <w:sz w:val="32"/>
          <w:szCs w:val="32"/>
          <w:highlight w:val="none"/>
          <w:lang w:val="en-GB" w:eastAsia="zh-CN"/>
        </w:rPr>
        <w:t>（二）</w:t>
      </w:r>
      <w:r>
        <w:rPr>
          <w:rFonts w:hint="eastAsia" w:ascii="楷体_GB2312" w:hAnsi="楷体_GB2312" w:eastAsia="楷体_GB2312" w:cs="楷体_GB2312"/>
          <w:bCs w:val="0"/>
          <w:sz w:val="32"/>
          <w:szCs w:val="32"/>
          <w:highlight w:val="none"/>
          <w:lang w:val="en-GB"/>
        </w:rPr>
        <w:t>综合投资收益</w:t>
      </w:r>
      <w:r>
        <w:rPr>
          <w:rFonts w:hint="eastAsia" w:ascii="楷体_GB2312" w:hAnsi="楷体_GB2312" w:eastAsia="楷体_GB2312" w:cs="楷体_GB2312"/>
          <w:bCs w:val="0"/>
          <w:sz w:val="32"/>
          <w:szCs w:val="32"/>
          <w:highlight w:val="none"/>
          <w:lang w:val="en-GB" w:eastAsia="zh-CN"/>
        </w:rPr>
        <w:t>覆盖率</w:t>
      </w:r>
    </w:p>
    <w:p>
      <w:pPr>
        <w:keepNext w:val="0"/>
        <w:keepLines w:val="0"/>
        <w:pageBreakBefore w:val="0"/>
        <w:widowControl/>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eastAsia="zh-CN"/>
        </w:rPr>
        <w:t>人身</w:t>
      </w:r>
      <w:r>
        <w:rPr>
          <w:rFonts w:hint="eastAsia" w:ascii="仿宋_GB2312" w:hAnsi="仿宋_GB2312" w:eastAsia="仿宋_GB2312" w:cs="仿宋_GB2312"/>
          <w:sz w:val="32"/>
          <w:szCs w:val="32"/>
          <w:highlight w:val="none"/>
        </w:rPr>
        <w:t>保险公司在较长期间的整体投资收益水平能否覆盖公司的整体业务成本，</w:t>
      </w:r>
      <w:r>
        <w:rPr>
          <w:rFonts w:hint="eastAsia" w:ascii="仿宋_GB2312" w:hAnsi="仿宋_GB2312" w:eastAsia="仿宋_GB2312" w:cs="仿宋_GB2312"/>
          <w:sz w:val="32"/>
          <w:szCs w:val="32"/>
          <w:highlight w:val="none"/>
          <w:lang w:val="en-GB"/>
        </w:rPr>
        <w:t>降低因短期市场波动</w:t>
      </w:r>
      <w:r>
        <w:rPr>
          <w:rFonts w:hint="eastAsia" w:ascii="仿宋_GB2312" w:hAnsi="仿宋_GB2312" w:eastAsia="仿宋_GB2312" w:cs="仿宋_GB2312"/>
          <w:sz w:val="32"/>
          <w:szCs w:val="32"/>
          <w:highlight w:val="none"/>
          <w:lang w:val="en-GB" w:eastAsia="zh-CN"/>
        </w:rPr>
        <w:t>带来的影响</w:t>
      </w:r>
      <w:r>
        <w:rPr>
          <w:rFonts w:hint="eastAsia" w:ascii="仿宋_GB2312" w:hAnsi="仿宋_GB2312" w:eastAsia="仿宋_GB2312" w:cs="仿宋_GB2312"/>
          <w:sz w:val="32"/>
          <w:szCs w:val="32"/>
          <w:highlight w:val="none"/>
          <w:lang w:val="en-GB"/>
        </w:rPr>
        <w:t>。</w:t>
      </w:r>
    </w:p>
    <w:p>
      <w:pPr>
        <w:keepNext w:val="0"/>
        <w:keepLines w:val="0"/>
        <w:pageBreakBefore w:val="0"/>
        <w:widowControl/>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覆盖</w:t>
      </w:r>
      <w:r>
        <w:rPr>
          <w:rFonts w:hint="eastAsia" w:ascii="仿宋_GB2312" w:hAnsi="仿宋_GB2312" w:eastAsia="仿宋_GB2312" w:cs="仿宋_GB2312"/>
          <w:sz w:val="32"/>
          <w:szCs w:val="32"/>
          <w:highlight w:val="none"/>
        </w:rPr>
        <w:t>率=</w:t>
      </w:r>
      <w:r>
        <w:rPr>
          <w:rFonts w:hint="eastAsia" w:ascii="仿宋_GB2312" w:hAnsi="仿宋_GB2312" w:eastAsia="仿宋_GB2312" w:cs="仿宋_GB2312"/>
          <w:sz w:val="32"/>
          <w:szCs w:val="32"/>
          <w:highlight w:val="none"/>
          <w:lang w:eastAsia="zh-CN"/>
        </w:rPr>
        <w:t>（过去第一年</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过去第二年</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过去第三年</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过去第四年</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过去第五年</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eastAsia="zh-CN"/>
        </w:rPr>
        <w:t>）÷（过去第一年负债资金成本</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过去第二年负债资金成本</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过去第三年负债资金成本</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过去第四年负债资金成本</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过去第五年负债资金成本）</w:t>
      </w:r>
    </w:p>
    <w:p>
      <w:pPr>
        <w:keepNext w:val="0"/>
        <w:keepLines w:val="0"/>
        <w:pageBreakBefore w:val="0"/>
        <w:widowControl/>
        <w:kinsoku/>
        <w:wordWrap/>
        <w:overflowPunct/>
        <w:topLinePunct w:val="0"/>
        <w:autoSpaceDE/>
        <w:autoSpaceDN/>
        <w:bidi w:val="0"/>
        <w:adjustRightInd/>
        <w:snapToGrid/>
        <w:spacing w:before="0" w:beforeLines="0" w:afterLines="0"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综合投资收益</w:t>
      </w:r>
      <w:r>
        <w:rPr>
          <w:rFonts w:hint="eastAsia" w:ascii="仿宋_GB2312" w:hAnsi="仿宋_GB2312" w:eastAsia="仿宋_GB2312" w:cs="仿宋_GB2312"/>
          <w:sz w:val="32"/>
          <w:szCs w:val="32"/>
          <w:highlight w:val="none"/>
          <w:lang w:val="en-US" w:eastAsia="zh-CN"/>
        </w:rPr>
        <w:t>=利息收入+投资收益+公允价值变动损益+其他投资损益+</w:t>
      </w:r>
      <w:r>
        <w:rPr>
          <w:rFonts w:hint="eastAsia" w:ascii="仿宋_GB2312" w:hAnsi="仿宋_GB2312" w:eastAsia="仿宋_GB2312" w:cs="仿宋_GB2312"/>
          <w:sz w:val="32"/>
          <w:szCs w:val="32"/>
          <w:highlight w:val="none"/>
        </w:rPr>
        <w:t>FVOCI</w:t>
      </w:r>
      <w:r>
        <w:rPr>
          <w:rFonts w:hint="eastAsia" w:ascii="仿宋_GB2312" w:hAnsi="仿宋_GB2312" w:eastAsia="仿宋_GB2312" w:cs="仿宋_GB2312"/>
          <w:sz w:val="32"/>
          <w:szCs w:val="32"/>
          <w:highlight w:val="none"/>
          <w:lang w:val="en-US" w:eastAsia="zh-CN"/>
        </w:rPr>
        <w:t>金融资产的公允价值变动</w:t>
      </w:r>
      <w:r>
        <w:rPr>
          <w:rFonts w:hint="eastAsia" w:ascii="仿宋_GB2312" w:hAnsi="仿宋" w:eastAsia="仿宋_GB2312"/>
          <w:sz w:val="32"/>
          <w:szCs w:val="32"/>
          <w:highlight w:val="none"/>
          <w:lang w:val="en-US" w:eastAsia="zh-CN"/>
        </w:rPr>
        <w:t>-FVOCI债务工具的公允价值变动</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指定</w:t>
      </w:r>
      <w:r>
        <w:rPr>
          <w:rFonts w:hint="eastAsia" w:ascii="仿宋_GB2312" w:hAnsi="仿宋_GB2312" w:eastAsia="仿宋_GB2312" w:cs="仿宋_GB2312"/>
          <w:sz w:val="32"/>
          <w:szCs w:val="32"/>
          <w:highlight w:val="none"/>
        </w:rPr>
        <w:t>为FVOCI的</w:t>
      </w:r>
      <w:r>
        <w:rPr>
          <w:rFonts w:hint="eastAsia" w:ascii="仿宋_GB2312" w:hAnsi="仿宋_GB2312" w:eastAsia="仿宋_GB2312" w:cs="仿宋_GB2312"/>
          <w:sz w:val="32"/>
          <w:szCs w:val="32"/>
          <w:highlight w:val="none"/>
          <w:lang w:eastAsia="zh-CN"/>
        </w:rPr>
        <w:t>非交易性</w:t>
      </w:r>
      <w:r>
        <w:rPr>
          <w:rFonts w:hint="eastAsia" w:ascii="仿宋_GB2312" w:hAnsi="仿宋_GB2312" w:eastAsia="仿宋_GB2312" w:cs="仿宋_GB2312"/>
          <w:sz w:val="32"/>
          <w:szCs w:val="32"/>
          <w:highlight w:val="none"/>
        </w:rPr>
        <w:t>权益工具</w:t>
      </w:r>
      <w:r>
        <w:rPr>
          <w:rFonts w:hint="eastAsia" w:ascii="仿宋_GB2312" w:hAnsi="仿宋_GB2312" w:eastAsia="仿宋_GB2312" w:cs="仿宋_GB2312"/>
          <w:sz w:val="32"/>
          <w:szCs w:val="32"/>
          <w:highlight w:val="none"/>
          <w:lang w:eastAsia="zh-CN"/>
        </w:rPr>
        <w:t>投资</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处置损益</w:t>
      </w:r>
      <w:r>
        <w:rPr>
          <w:rFonts w:hint="eastAsia" w:ascii="仿宋_GB2312" w:hAnsi="仿宋_GB2312" w:eastAsia="仿宋_GB2312" w:cs="仿宋_GB2312"/>
          <w:sz w:val="32"/>
          <w:szCs w:val="32"/>
          <w:highlight w:val="none"/>
          <w:lang w:val="en-US" w:eastAsia="zh-CN"/>
        </w:rPr>
        <w:t>-投资资产减值损失-利息支出。</w:t>
      </w:r>
    </w:p>
    <w:p>
      <w:pPr>
        <w:keepNext w:val="0"/>
        <w:keepLines w:val="0"/>
        <w:pageBreakBefore w:val="0"/>
        <w:kinsoku/>
        <w:wordWrap/>
        <w:overflowPunct/>
        <w:topLinePunct w:val="0"/>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负债资金成本反映公司当期</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GB"/>
        </w:rPr>
        <w:t>保证利益及非保证利益</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传统账户的负债资金成本为</w:t>
      </w:r>
      <w:r>
        <w:rPr>
          <w:rFonts w:hint="eastAsia" w:ascii="仿宋_GB2312" w:hAnsi="仿宋_GB2312" w:eastAsia="仿宋_GB2312" w:cs="仿宋_GB2312"/>
          <w:sz w:val="32"/>
          <w:szCs w:val="32"/>
          <w:highlight w:val="none"/>
          <w:lang w:val="en-GB" w:eastAsia="zh-CN"/>
        </w:rPr>
        <w:t>普通型寿险业务负债资金成本</w:t>
      </w:r>
      <w:r>
        <w:rPr>
          <w:rFonts w:hint="eastAsia" w:ascii="仿宋_GB2312" w:hAnsi="仿宋_GB2312" w:eastAsia="仿宋_GB2312" w:cs="仿宋_GB2312"/>
          <w:sz w:val="32"/>
          <w:szCs w:val="32"/>
          <w:highlight w:val="none"/>
          <w:lang w:val="en-GB"/>
        </w:rPr>
        <w:t>与</w:t>
      </w:r>
      <w:r>
        <w:rPr>
          <w:rFonts w:hint="eastAsia" w:ascii="仿宋_GB2312" w:hAnsi="仿宋_GB2312" w:eastAsia="仿宋_GB2312" w:cs="仿宋_GB2312"/>
          <w:sz w:val="32"/>
          <w:szCs w:val="32"/>
          <w:highlight w:val="none"/>
          <w:lang w:val="en-GB" w:eastAsia="zh-CN"/>
        </w:rPr>
        <w:t>普通型</w:t>
      </w:r>
      <w:r>
        <w:rPr>
          <w:rFonts w:hint="eastAsia" w:ascii="仿宋_GB2312" w:hAnsi="仿宋_GB2312" w:eastAsia="仿宋_GB2312" w:cs="仿宋_GB2312"/>
          <w:sz w:val="32"/>
          <w:szCs w:val="32"/>
          <w:highlight w:val="none"/>
          <w:lang w:val="en-GB"/>
        </w:rPr>
        <w:t>非寿险业务负债资金成本之和</w:t>
      </w:r>
      <w:r>
        <w:rPr>
          <w:rFonts w:hint="eastAsia" w:ascii="仿宋_GB2312" w:hAnsi="仿宋_GB2312" w:eastAsia="仿宋_GB2312" w:cs="仿宋_GB2312"/>
          <w:sz w:val="32"/>
          <w:szCs w:val="32"/>
          <w:highlight w:val="none"/>
          <w:lang w:val="en-GB" w:eastAsia="zh-CN"/>
        </w:rPr>
        <w:t>，其中，普通型寿险业务负债资金成本为其保险</w:t>
      </w:r>
      <w:r>
        <w:rPr>
          <w:rFonts w:hint="eastAsia" w:ascii="仿宋_GB2312" w:hAnsi="仿宋_GB2312" w:eastAsia="仿宋_GB2312" w:cs="仿宋_GB2312"/>
          <w:sz w:val="32"/>
          <w:szCs w:val="32"/>
          <w:highlight w:val="none"/>
          <w:lang w:val="en-GB"/>
        </w:rPr>
        <w:t>产品预定利率对应成本</w:t>
      </w:r>
      <w:r>
        <w:rPr>
          <w:rFonts w:hint="eastAsia" w:ascii="仿宋_GB2312" w:hAnsi="仿宋_GB2312" w:eastAsia="仿宋_GB2312" w:cs="仿宋_GB2312"/>
          <w:sz w:val="32"/>
          <w:szCs w:val="32"/>
          <w:highlight w:val="none"/>
          <w:lang w:val="en-GB" w:eastAsia="zh-CN"/>
        </w:rPr>
        <w:t>，普通型</w:t>
      </w:r>
      <w:r>
        <w:rPr>
          <w:rFonts w:hint="eastAsia" w:ascii="仿宋_GB2312" w:hAnsi="仿宋_GB2312" w:eastAsia="仿宋_GB2312" w:cs="仿宋_GB2312"/>
          <w:sz w:val="32"/>
          <w:szCs w:val="32"/>
          <w:highlight w:val="none"/>
          <w:lang w:val="en-GB"/>
        </w:rPr>
        <w:t>非寿险业务负债资金成本=保险服务费用+承保财务损益</w:t>
      </w:r>
      <w:r>
        <w:rPr>
          <w:rFonts w:hint="eastAsia" w:ascii="仿宋_GB2312" w:hAnsi="仿宋_GB2312" w:eastAsia="仿宋_GB2312" w:cs="仿宋_GB2312"/>
          <w:sz w:val="32"/>
          <w:szCs w:val="32"/>
          <w:highlight w:val="none"/>
          <w:lang w:val="en-US" w:eastAsia="zh-CN"/>
        </w:rPr>
        <w:t>+</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分出保费的分摊-</w:t>
      </w:r>
      <w:r>
        <w:rPr>
          <w:rFonts w:hint="eastAsia" w:ascii="仿宋_GB2312" w:hAnsi="仿宋" w:eastAsia="仿宋_GB2312"/>
          <w:sz w:val="32"/>
          <w:szCs w:val="32"/>
          <w:highlight w:val="none"/>
          <w:shd w:val="clear" w:fill="FFFFFF"/>
        </w:rPr>
        <w:t>摊回</w:t>
      </w:r>
      <w:r>
        <w:rPr>
          <w:rFonts w:hint="eastAsia" w:ascii="仿宋_GB2312" w:hAnsi="仿宋" w:eastAsia="仿宋_GB2312"/>
          <w:sz w:val="32"/>
          <w:szCs w:val="32"/>
          <w:highlight w:val="none"/>
        </w:rPr>
        <w:t>保险服务费用-分出再保险财务损益</w:t>
      </w:r>
      <w:r>
        <w:rPr>
          <w:rFonts w:hint="eastAsia" w:ascii="仿宋_GB2312" w:hAnsi="仿宋" w:eastAsia="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 w:eastAsia="仿宋_GB2312" w:cs="MS Mincho"/>
          <w:sz w:val="32"/>
          <w:szCs w:val="32"/>
          <w:highlight w:val="none"/>
          <w:lang w:val="en-US" w:eastAsia="zh-CN"/>
        </w:rPr>
        <w:t>保险服务收入</w:t>
      </w:r>
      <w:r>
        <w:rPr>
          <w:rFonts w:hint="eastAsia" w:ascii="仿宋_GB2312" w:hAnsi="仿宋_GB2312" w:eastAsia="仿宋_GB2312" w:cs="仿宋_GB2312"/>
          <w:sz w:val="32"/>
          <w:szCs w:val="32"/>
          <w:highlight w:val="none"/>
          <w:lang w:val="en-GB"/>
        </w:rPr>
        <w:t>；分红账户的负债资金成本包含保证成本与保户红利；万能账户的负债资金成本为万能保险结算成本；普通账户负债资金成本为传统账户、分红账户、万能账户</w:t>
      </w:r>
      <w:r>
        <w:rPr>
          <w:rFonts w:hint="eastAsia" w:ascii="仿宋_GB2312" w:hAnsi="仿宋_GB2312" w:eastAsia="仿宋_GB2312" w:cs="仿宋_GB2312"/>
          <w:sz w:val="32"/>
          <w:szCs w:val="32"/>
          <w:highlight w:val="none"/>
          <w:lang w:val="en-GB" w:eastAsia="zh-CN"/>
        </w:rPr>
        <w:t>的</w:t>
      </w:r>
      <w:r>
        <w:rPr>
          <w:rFonts w:hint="eastAsia" w:ascii="仿宋_GB2312" w:hAnsi="仿宋_GB2312" w:eastAsia="仿宋_GB2312" w:cs="仿宋_GB2312"/>
          <w:sz w:val="32"/>
          <w:szCs w:val="32"/>
          <w:highlight w:val="none"/>
          <w:lang w:val="en-GB"/>
        </w:rPr>
        <w:t>负债资金成本之和。</w:t>
      </w:r>
    </w:p>
    <w:p>
      <w:pPr>
        <w:keepNext w:val="0"/>
        <w:keepLines w:val="0"/>
        <w:pageBreakBefore w:val="0"/>
        <w:kinsoku/>
        <w:wordWrap/>
        <w:overflowPunct/>
        <w:topLinePunct w:val="0"/>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在计算普通账户</w:t>
      </w:r>
      <w:r>
        <w:rPr>
          <w:rFonts w:hint="eastAsia" w:ascii="仿宋_GB2312" w:hAnsi="仿宋_GB2312" w:eastAsia="仿宋_GB2312" w:cs="仿宋_GB2312"/>
          <w:sz w:val="32"/>
          <w:szCs w:val="32"/>
          <w:highlight w:val="none"/>
          <w:lang w:eastAsia="zh-CN"/>
        </w:rPr>
        <w:t>综合投资收益覆盖率</w:t>
      </w:r>
      <w:r>
        <w:rPr>
          <w:rFonts w:hint="eastAsia" w:ascii="仿宋_GB2312" w:hAnsi="仿宋_GB2312" w:eastAsia="仿宋_GB2312" w:cs="仿宋_GB2312"/>
          <w:sz w:val="32"/>
          <w:szCs w:val="32"/>
          <w:highlight w:val="none"/>
        </w:rPr>
        <w:t>时，应当</w:t>
      </w:r>
      <w:r>
        <w:rPr>
          <w:rFonts w:hint="eastAsia" w:ascii="仿宋_GB2312" w:hAnsi="仿宋_GB2312" w:eastAsia="仿宋_GB2312" w:cs="仿宋_GB2312"/>
          <w:sz w:val="32"/>
          <w:szCs w:val="32"/>
          <w:highlight w:val="none"/>
          <w:lang w:eastAsia="zh-CN"/>
        </w:rPr>
        <w:t>在普通账户综合投资收益中</w:t>
      </w:r>
      <w:r>
        <w:rPr>
          <w:rFonts w:hint="eastAsia" w:ascii="仿宋_GB2312" w:hAnsi="仿宋_GB2312" w:eastAsia="仿宋_GB2312" w:cs="仿宋_GB2312"/>
          <w:sz w:val="32"/>
          <w:szCs w:val="32"/>
          <w:highlight w:val="none"/>
        </w:rPr>
        <w:t>扣除公司发行</w:t>
      </w:r>
      <w:r>
        <w:rPr>
          <w:rFonts w:hint="eastAsia" w:ascii="仿宋_GB2312" w:hAnsi="仿宋_GB2312" w:eastAsia="仿宋_GB2312" w:cs="仿宋_GB2312"/>
          <w:sz w:val="32"/>
          <w:szCs w:val="32"/>
          <w:highlight w:val="none"/>
          <w:lang w:val="en-GB"/>
        </w:rPr>
        <w:t>次级债</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rPr>
        <w:t>的利息</w:t>
      </w:r>
      <w:r>
        <w:rPr>
          <w:rFonts w:hint="eastAsia" w:ascii="仿宋_GB2312" w:hAnsi="仿宋_GB2312" w:eastAsia="仿宋_GB2312" w:cs="仿宋_GB2312"/>
          <w:sz w:val="32"/>
          <w:szCs w:val="32"/>
          <w:highlight w:val="none"/>
        </w:rPr>
        <w:t>支出。</w:t>
      </w:r>
    </w:p>
    <w:p>
      <w:pPr>
        <w:keepNext w:val="0"/>
        <w:keepLines w:val="0"/>
        <w:pageBreakBefore w:val="0"/>
        <w:widowControl/>
        <w:numPr>
          <w:ilvl w:val="255"/>
          <w:numId w:val="0"/>
        </w:numPr>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Cs w:val="0"/>
          <w:sz w:val="32"/>
          <w:szCs w:val="32"/>
          <w:highlight w:val="none"/>
          <w:lang w:val="en-GB" w:eastAsia="zh-CN"/>
        </w:rPr>
      </w:pPr>
      <w:r>
        <w:rPr>
          <w:rFonts w:hint="eastAsia" w:ascii="楷体_GB2312" w:hAnsi="楷体_GB2312" w:eastAsia="楷体_GB2312" w:cs="楷体_GB2312"/>
          <w:bCs w:val="0"/>
          <w:sz w:val="32"/>
          <w:szCs w:val="32"/>
          <w:highlight w:val="none"/>
          <w:lang w:val="en-GB" w:eastAsia="zh-CN"/>
        </w:rPr>
        <w:t>（三）</w:t>
      </w:r>
      <w:r>
        <w:rPr>
          <w:rFonts w:hint="eastAsia" w:ascii="楷体_GB2312" w:hAnsi="楷体_GB2312" w:eastAsia="楷体_GB2312" w:cs="楷体_GB2312"/>
          <w:bCs w:val="0"/>
          <w:sz w:val="32"/>
          <w:szCs w:val="32"/>
          <w:highlight w:val="none"/>
          <w:lang w:val="en-GB"/>
        </w:rPr>
        <w:t>净投资收益</w:t>
      </w:r>
      <w:r>
        <w:rPr>
          <w:rFonts w:hint="eastAsia" w:ascii="楷体_GB2312" w:hAnsi="楷体_GB2312" w:eastAsia="楷体_GB2312" w:cs="楷体_GB2312"/>
          <w:bCs w:val="0"/>
          <w:sz w:val="32"/>
          <w:szCs w:val="32"/>
          <w:highlight w:val="none"/>
          <w:lang w:val="en-GB" w:eastAsia="zh-CN"/>
        </w:rPr>
        <w:t>覆盖率</w:t>
      </w:r>
    </w:p>
    <w:p>
      <w:pPr>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eastAsia="zh-CN"/>
        </w:rPr>
      </w:pPr>
      <w:r>
        <w:rPr>
          <w:rFonts w:hint="eastAsia" w:ascii="仿宋_GB2312" w:hAnsi="仿宋_GB2312" w:eastAsia="仿宋_GB2312" w:cs="仿宋_GB2312"/>
          <w:sz w:val="32"/>
          <w:szCs w:val="32"/>
          <w:highlight w:val="none"/>
          <w:lang w:eastAsia="zh-CN"/>
        </w:rPr>
        <w:t>衡量</w:t>
      </w:r>
      <w:r>
        <w:rPr>
          <w:rFonts w:hint="eastAsia" w:ascii="仿宋_GB2312" w:hAnsi="仿宋_GB2312" w:eastAsia="仿宋_GB2312" w:cs="仿宋_GB2312"/>
          <w:sz w:val="32"/>
          <w:szCs w:val="32"/>
          <w:highlight w:val="none"/>
        </w:rPr>
        <w:t>保险公司投资收益</w:t>
      </w:r>
      <w:r>
        <w:rPr>
          <w:rFonts w:hint="eastAsia" w:ascii="仿宋_GB2312" w:hAnsi="仿宋_GB2312" w:eastAsia="仿宋_GB2312" w:cs="仿宋_GB2312"/>
          <w:sz w:val="32"/>
          <w:szCs w:val="32"/>
          <w:highlight w:val="none"/>
          <w:lang w:eastAsia="zh-CN"/>
        </w:rPr>
        <w:t>中较为</w:t>
      </w:r>
      <w:r>
        <w:rPr>
          <w:rFonts w:hint="eastAsia" w:ascii="仿宋_GB2312" w:hAnsi="仿宋_GB2312" w:eastAsia="仿宋_GB2312" w:cs="仿宋_GB2312"/>
          <w:sz w:val="32"/>
          <w:szCs w:val="32"/>
          <w:highlight w:val="none"/>
        </w:rPr>
        <w:t>稳定的</w:t>
      </w:r>
      <w:r>
        <w:rPr>
          <w:rFonts w:hint="eastAsia" w:ascii="仿宋_GB2312" w:hAnsi="仿宋_GB2312" w:eastAsia="仿宋_GB2312" w:cs="仿宋_GB2312"/>
          <w:sz w:val="32"/>
          <w:szCs w:val="32"/>
          <w:highlight w:val="none"/>
          <w:lang w:eastAsia="zh-CN"/>
        </w:rPr>
        <w:t>部分</w:t>
      </w:r>
      <w:r>
        <w:rPr>
          <w:rFonts w:hint="eastAsia" w:ascii="仿宋_GB2312" w:hAnsi="仿宋_GB2312" w:eastAsia="仿宋_GB2312" w:cs="仿宋_GB2312"/>
          <w:sz w:val="32"/>
          <w:szCs w:val="32"/>
          <w:highlight w:val="none"/>
        </w:rPr>
        <w:t>是否能够满足</w:t>
      </w:r>
      <w:r>
        <w:rPr>
          <w:rFonts w:hint="eastAsia" w:ascii="仿宋_GB2312" w:hAnsi="仿宋_GB2312" w:eastAsia="仿宋_GB2312" w:cs="仿宋_GB2312"/>
          <w:sz w:val="32"/>
          <w:szCs w:val="32"/>
          <w:highlight w:val="none"/>
          <w:lang w:eastAsia="zh-CN"/>
        </w:rPr>
        <w:t>公司给予客户的保证利益</w:t>
      </w:r>
      <w:r>
        <w:rPr>
          <w:rFonts w:hint="eastAsia" w:ascii="仿宋_GB2312" w:hAnsi="仿宋_GB2312" w:eastAsia="仿宋_GB2312" w:cs="仿宋_GB2312"/>
          <w:sz w:val="32"/>
          <w:szCs w:val="32"/>
          <w:highlight w:val="none"/>
        </w:rPr>
        <w:t>要求，反映公司</w:t>
      </w:r>
      <w:r>
        <w:rPr>
          <w:rFonts w:hint="eastAsia" w:ascii="仿宋_GB2312" w:hAnsi="仿宋_GB2312" w:eastAsia="仿宋_GB2312" w:cs="仿宋_GB2312"/>
          <w:sz w:val="32"/>
          <w:szCs w:val="32"/>
          <w:highlight w:val="none"/>
          <w:lang w:eastAsia="zh-CN"/>
        </w:rPr>
        <w:t>相对刚性的</w:t>
      </w:r>
      <w:r>
        <w:rPr>
          <w:rFonts w:hint="eastAsia" w:ascii="仿宋_GB2312" w:hAnsi="仿宋_GB2312" w:eastAsia="仿宋_GB2312" w:cs="仿宋_GB2312"/>
          <w:sz w:val="32"/>
          <w:szCs w:val="32"/>
          <w:highlight w:val="none"/>
        </w:rPr>
        <w:t>成本收益匹配情况</w:t>
      </w:r>
      <w:r>
        <w:rPr>
          <w:rFonts w:hint="eastAsia" w:ascii="仿宋_GB2312" w:hAnsi="仿宋_GB2312" w:eastAsia="仿宋_GB2312" w:cs="仿宋_GB2312"/>
          <w:sz w:val="32"/>
          <w:szCs w:val="32"/>
          <w:highlight w:val="none"/>
          <w:lang w:val="en-GB"/>
        </w:rPr>
        <w:t>。</w:t>
      </w:r>
    </w:p>
    <w:p>
      <w:pPr>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GB"/>
        </w:rPr>
        <w:t>净投资收益</w:t>
      </w:r>
      <w:r>
        <w:rPr>
          <w:rFonts w:hint="eastAsia" w:ascii="仿宋_GB2312" w:hAnsi="仿宋_GB2312" w:eastAsia="仿宋_GB2312" w:cs="仿宋_GB2312"/>
          <w:sz w:val="32"/>
          <w:szCs w:val="32"/>
          <w:highlight w:val="none"/>
          <w:lang w:val="en-GB" w:eastAsia="zh-CN"/>
        </w:rPr>
        <w:t>覆盖率</w:t>
      </w:r>
      <w:r>
        <w:rPr>
          <w:rFonts w:hint="eastAsia" w:ascii="仿宋_GB2312" w:hAnsi="仿宋_GB2312" w:eastAsia="仿宋_GB2312" w:cs="仿宋_GB2312"/>
          <w:sz w:val="32"/>
          <w:szCs w:val="32"/>
          <w:highlight w:val="none"/>
          <w:lang w:val="en-GB"/>
        </w:rPr>
        <w:t>=过去</w:t>
      </w:r>
      <w:r>
        <w:rPr>
          <w:rFonts w:hint="eastAsia" w:ascii="仿宋_GB2312" w:hAnsi="仿宋_GB2312" w:eastAsia="仿宋_GB2312" w:cs="仿宋_GB2312"/>
          <w:sz w:val="32"/>
          <w:szCs w:val="32"/>
          <w:highlight w:val="none"/>
          <w:lang w:val="en-GB" w:eastAsia="zh-CN"/>
        </w:rPr>
        <w:t>三年</w:t>
      </w:r>
      <w:r>
        <w:rPr>
          <w:rFonts w:hint="eastAsia" w:ascii="仿宋_GB2312" w:hAnsi="仿宋_GB2312" w:eastAsia="仿宋_GB2312" w:cs="仿宋_GB2312"/>
          <w:sz w:val="32"/>
          <w:szCs w:val="32"/>
          <w:highlight w:val="none"/>
          <w:lang w:val="en-GB"/>
        </w:rPr>
        <w:t>净投资收益</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过去</w:t>
      </w:r>
      <w:r>
        <w:rPr>
          <w:rFonts w:hint="eastAsia" w:ascii="仿宋_GB2312" w:hAnsi="仿宋_GB2312" w:eastAsia="仿宋_GB2312" w:cs="仿宋_GB2312"/>
          <w:sz w:val="32"/>
          <w:szCs w:val="32"/>
          <w:highlight w:val="none"/>
          <w:lang w:val="en-GB" w:eastAsia="zh-CN"/>
        </w:rPr>
        <w:t>三</w:t>
      </w:r>
      <w:r>
        <w:rPr>
          <w:rFonts w:hint="eastAsia" w:ascii="仿宋_GB2312" w:hAnsi="仿宋_GB2312" w:eastAsia="仿宋_GB2312" w:cs="仿宋_GB2312"/>
          <w:sz w:val="32"/>
          <w:szCs w:val="32"/>
          <w:highlight w:val="none"/>
          <w:lang w:val="en-GB"/>
        </w:rPr>
        <w:t>年负债保证成本</w:t>
      </w:r>
    </w:p>
    <w:p>
      <w:pPr>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cyan"/>
        </w:rPr>
      </w:pP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净投资收益包括</w:t>
      </w:r>
      <w:r>
        <w:rPr>
          <w:rFonts w:hint="eastAsia" w:ascii="仿宋_GB2312" w:hAnsi="仿宋_GB2312" w:eastAsia="仿宋_GB2312" w:cs="仿宋_GB2312"/>
          <w:sz w:val="32"/>
          <w:szCs w:val="32"/>
          <w:highlight w:val="none"/>
          <w:lang w:val="en-GB"/>
        </w:rPr>
        <w:t>利息收入</w:t>
      </w:r>
      <w:r>
        <w:rPr>
          <w:rFonts w:hint="eastAsia" w:ascii="仿宋_GB2312" w:hAnsi="仿宋_GB2312" w:eastAsia="仿宋_GB2312" w:cs="仿宋_GB2312"/>
          <w:sz w:val="32"/>
          <w:szCs w:val="32"/>
          <w:highlight w:val="none"/>
          <w:lang w:val="en-US" w:eastAsia="zh-CN"/>
        </w:rPr>
        <w:t>和分类为FVTPL金融资产的利息收入</w:t>
      </w:r>
      <w:r>
        <w:rPr>
          <w:rFonts w:hint="eastAsia" w:ascii="仿宋_GB2312" w:hAnsi="仿宋_GB2312" w:eastAsia="仿宋_GB2312" w:cs="仿宋_GB2312"/>
          <w:sz w:val="32"/>
          <w:szCs w:val="32"/>
          <w:highlight w:val="none"/>
          <w:lang w:val="en-GB"/>
        </w:rPr>
        <w:t>、股息红利收入</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US" w:eastAsia="zh-CN"/>
        </w:rPr>
        <w:t>以及</w:t>
      </w:r>
      <w:r>
        <w:rPr>
          <w:rFonts w:hint="eastAsia" w:ascii="仿宋_GB2312" w:hAnsi="仿宋_GB2312" w:eastAsia="仿宋_GB2312" w:cs="仿宋_GB2312"/>
          <w:sz w:val="32"/>
          <w:szCs w:val="32"/>
          <w:highlight w:val="none"/>
          <w:lang w:val="en-GB"/>
        </w:rPr>
        <w:t>投资性房地产租金收入</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eastAsia="zh-CN"/>
        </w:rPr>
        <w:t>，并扣除利息支出</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负债保证成本反映公司当期</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客户的保证利益。传统账户保证成本</w:t>
      </w:r>
      <w:r>
        <w:rPr>
          <w:rFonts w:hint="eastAsia" w:ascii="仿宋_GB2312" w:hAnsi="仿宋_GB2312" w:eastAsia="仿宋_GB2312" w:cs="仿宋_GB2312"/>
          <w:sz w:val="32"/>
          <w:szCs w:val="32"/>
          <w:highlight w:val="none"/>
          <w:lang w:val="en-GB" w:eastAsia="zh-CN"/>
        </w:rPr>
        <w:t>为普通型寿险业务保证成本与普通型</w:t>
      </w:r>
      <w:r>
        <w:rPr>
          <w:rFonts w:hint="eastAsia" w:ascii="仿宋_GB2312" w:hAnsi="仿宋_GB2312" w:eastAsia="仿宋_GB2312" w:cs="仿宋_GB2312"/>
          <w:sz w:val="32"/>
          <w:szCs w:val="32"/>
          <w:highlight w:val="none"/>
          <w:lang w:val="en-GB"/>
        </w:rPr>
        <w:t>非寿险业务</w:t>
      </w:r>
      <w:r>
        <w:rPr>
          <w:rFonts w:hint="eastAsia" w:ascii="仿宋_GB2312" w:hAnsi="仿宋_GB2312" w:eastAsia="仿宋_GB2312" w:cs="仿宋_GB2312"/>
          <w:sz w:val="32"/>
          <w:szCs w:val="32"/>
          <w:highlight w:val="none"/>
          <w:lang w:val="en-GB" w:eastAsia="zh-CN"/>
        </w:rPr>
        <w:t>保证成本之和，其中，普通型寿险业务保证成本为其保险</w:t>
      </w:r>
      <w:r>
        <w:rPr>
          <w:rFonts w:hint="eastAsia" w:ascii="仿宋_GB2312" w:hAnsi="仿宋_GB2312" w:eastAsia="仿宋_GB2312" w:cs="仿宋_GB2312"/>
          <w:sz w:val="32"/>
          <w:szCs w:val="32"/>
          <w:highlight w:val="none"/>
          <w:lang w:val="en-GB"/>
        </w:rPr>
        <w:t>产品预定利率对应成本</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普通型非寿险业务</w:t>
      </w:r>
      <w:r>
        <w:rPr>
          <w:rFonts w:hint="eastAsia" w:ascii="仿宋_GB2312" w:hAnsi="仿宋_GB2312" w:eastAsia="仿宋_GB2312" w:cs="仿宋_GB2312"/>
          <w:sz w:val="32"/>
          <w:szCs w:val="32"/>
          <w:highlight w:val="none"/>
          <w:lang w:val="en-GB" w:eastAsia="zh-CN"/>
        </w:rPr>
        <w:t>保证成本取其负债资金成本与</w:t>
      </w:r>
      <w:r>
        <w:rPr>
          <w:rFonts w:hint="eastAsia" w:ascii="仿宋_GB2312" w:hAnsi="仿宋_GB2312" w:eastAsia="仿宋_GB2312" w:cs="仿宋_GB2312"/>
          <w:sz w:val="32"/>
          <w:szCs w:val="32"/>
          <w:highlight w:val="none"/>
          <w:shd w:val="clear" w:fill="FFFFFF"/>
          <w:lang w:val="en-GB" w:eastAsia="zh-CN"/>
        </w:rPr>
        <w:t>零</w:t>
      </w:r>
      <w:r>
        <w:rPr>
          <w:rFonts w:hint="eastAsia" w:ascii="仿宋_GB2312" w:hAnsi="仿宋_GB2312" w:eastAsia="仿宋_GB2312" w:cs="仿宋_GB2312"/>
          <w:sz w:val="32"/>
          <w:szCs w:val="32"/>
          <w:highlight w:val="none"/>
          <w:lang w:val="en-GB" w:eastAsia="zh-CN"/>
        </w:rPr>
        <w:t>两者的较大值</w:t>
      </w:r>
      <w:r>
        <w:rPr>
          <w:rFonts w:hint="eastAsia" w:ascii="仿宋_GB2312" w:hAnsi="仿宋_GB2312" w:eastAsia="仿宋_GB2312" w:cs="仿宋_GB2312"/>
          <w:sz w:val="32"/>
          <w:szCs w:val="32"/>
          <w:highlight w:val="none"/>
          <w:lang w:val="en-GB"/>
        </w:rPr>
        <w:t>；分红账户保证成本为该类型产品预定利率对应的成本；万能账户保证成本为该类型产品说明书中规定最低保证利率对应的成本。普通账户负债</w:t>
      </w:r>
      <w:r>
        <w:rPr>
          <w:rFonts w:hint="eastAsia" w:ascii="仿宋_GB2312" w:hAnsi="仿宋_GB2312" w:eastAsia="仿宋_GB2312" w:cs="仿宋_GB2312"/>
          <w:sz w:val="32"/>
          <w:szCs w:val="32"/>
          <w:highlight w:val="none"/>
          <w:lang w:val="en-GB" w:eastAsia="zh-CN"/>
        </w:rPr>
        <w:t>保证</w:t>
      </w:r>
      <w:r>
        <w:rPr>
          <w:rFonts w:hint="eastAsia" w:ascii="仿宋_GB2312" w:hAnsi="仿宋_GB2312" w:eastAsia="仿宋_GB2312" w:cs="仿宋_GB2312"/>
          <w:sz w:val="32"/>
          <w:szCs w:val="32"/>
          <w:highlight w:val="none"/>
          <w:lang w:val="en-GB"/>
        </w:rPr>
        <w:t>成本为传统账户、分红账户、万能账户</w:t>
      </w:r>
      <w:r>
        <w:rPr>
          <w:rFonts w:hint="eastAsia" w:ascii="仿宋_GB2312" w:hAnsi="仿宋_GB2312" w:eastAsia="仿宋_GB2312" w:cs="仿宋_GB2312"/>
          <w:sz w:val="32"/>
          <w:szCs w:val="32"/>
          <w:highlight w:val="none"/>
          <w:lang w:val="en-GB" w:eastAsia="zh-CN"/>
        </w:rPr>
        <w:t>的</w:t>
      </w:r>
      <w:r>
        <w:rPr>
          <w:rFonts w:hint="eastAsia" w:ascii="仿宋_GB2312" w:hAnsi="仿宋_GB2312" w:eastAsia="仿宋_GB2312" w:cs="仿宋_GB2312"/>
          <w:sz w:val="32"/>
          <w:szCs w:val="32"/>
          <w:highlight w:val="none"/>
          <w:lang w:val="en-GB"/>
        </w:rPr>
        <w:t>负债</w:t>
      </w:r>
      <w:r>
        <w:rPr>
          <w:rFonts w:hint="eastAsia" w:ascii="仿宋_GB2312" w:hAnsi="仿宋_GB2312" w:eastAsia="仿宋_GB2312" w:cs="仿宋_GB2312"/>
          <w:sz w:val="32"/>
          <w:szCs w:val="32"/>
          <w:highlight w:val="none"/>
          <w:lang w:val="en-GB" w:eastAsia="zh-CN"/>
        </w:rPr>
        <w:t>保证</w:t>
      </w:r>
      <w:r>
        <w:rPr>
          <w:rFonts w:hint="eastAsia" w:ascii="仿宋_GB2312" w:hAnsi="仿宋_GB2312" w:eastAsia="仿宋_GB2312" w:cs="仿宋_GB2312"/>
          <w:sz w:val="32"/>
          <w:szCs w:val="32"/>
          <w:highlight w:val="none"/>
          <w:lang w:val="en-GB"/>
        </w:rPr>
        <w:t>成本之和。</w:t>
      </w:r>
    </w:p>
    <w:p>
      <w:pPr>
        <w:keepNext w:val="0"/>
        <w:keepLines w:val="0"/>
        <w:pageBreakBefore w:val="0"/>
        <w:kinsoku/>
        <w:wordWrap/>
        <w:overflowPunct/>
        <w:topLinePunct w:val="0"/>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在计算普通账户</w:t>
      </w:r>
      <w:r>
        <w:rPr>
          <w:rFonts w:hint="eastAsia" w:ascii="仿宋_GB2312" w:hAnsi="仿宋_GB2312" w:eastAsia="仿宋_GB2312" w:cs="仿宋_GB2312"/>
          <w:sz w:val="32"/>
          <w:szCs w:val="32"/>
          <w:highlight w:val="none"/>
          <w:lang w:val="en-GB"/>
        </w:rPr>
        <w:t>净投资收益</w:t>
      </w:r>
      <w:r>
        <w:rPr>
          <w:rFonts w:hint="eastAsia" w:ascii="仿宋_GB2312" w:hAnsi="仿宋_GB2312" w:eastAsia="仿宋_GB2312" w:cs="仿宋_GB2312"/>
          <w:sz w:val="32"/>
          <w:szCs w:val="32"/>
          <w:highlight w:val="none"/>
          <w:lang w:eastAsia="zh-CN"/>
        </w:rPr>
        <w:t>覆盖率</w:t>
      </w:r>
      <w:r>
        <w:rPr>
          <w:rFonts w:hint="eastAsia" w:ascii="仿宋_GB2312" w:hAnsi="仿宋_GB2312" w:eastAsia="仿宋_GB2312" w:cs="仿宋_GB2312"/>
          <w:sz w:val="32"/>
          <w:szCs w:val="32"/>
          <w:highlight w:val="none"/>
        </w:rPr>
        <w:t>时，应当</w:t>
      </w:r>
      <w:r>
        <w:rPr>
          <w:rFonts w:hint="eastAsia" w:ascii="仿宋_GB2312" w:hAnsi="仿宋_GB2312" w:eastAsia="仿宋_GB2312" w:cs="仿宋_GB2312"/>
          <w:sz w:val="32"/>
          <w:szCs w:val="32"/>
          <w:highlight w:val="none"/>
          <w:lang w:eastAsia="zh-CN"/>
        </w:rPr>
        <w:t>在普通账户净投资收益中</w:t>
      </w:r>
      <w:r>
        <w:rPr>
          <w:rFonts w:hint="eastAsia" w:ascii="仿宋_GB2312" w:hAnsi="仿宋_GB2312" w:eastAsia="仿宋_GB2312" w:cs="仿宋_GB2312"/>
          <w:sz w:val="32"/>
          <w:szCs w:val="32"/>
          <w:highlight w:val="none"/>
        </w:rPr>
        <w:t>扣除公司发行</w:t>
      </w:r>
      <w:r>
        <w:rPr>
          <w:rFonts w:hint="eastAsia" w:ascii="仿宋_GB2312" w:hAnsi="仿宋_GB2312" w:eastAsia="仿宋_GB2312" w:cs="仿宋_GB2312"/>
          <w:sz w:val="32"/>
          <w:szCs w:val="32"/>
          <w:highlight w:val="none"/>
          <w:lang w:val="en-GB"/>
        </w:rPr>
        <w:t>次级债</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rPr>
        <w:t>的利息</w:t>
      </w:r>
      <w:r>
        <w:rPr>
          <w:rFonts w:hint="eastAsia" w:ascii="仿宋_GB2312" w:hAnsi="仿宋_GB2312" w:eastAsia="仿宋_GB2312" w:cs="仿宋_GB2312"/>
          <w:sz w:val="32"/>
          <w:szCs w:val="32"/>
          <w:highlight w:val="none"/>
        </w:rPr>
        <w:t>支出。</w:t>
      </w:r>
    </w:p>
    <w:p>
      <w:pPr>
        <w:keepNext w:val="0"/>
        <w:keepLines w:val="0"/>
        <w:pageBreakBefore w:val="0"/>
        <w:widowControl/>
        <w:numPr>
          <w:ilvl w:val="255"/>
          <w:numId w:val="0"/>
        </w:numPr>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Cs w:val="0"/>
          <w:sz w:val="32"/>
          <w:szCs w:val="32"/>
          <w:highlight w:val="none"/>
          <w:lang w:val="en-GB"/>
        </w:rPr>
      </w:pPr>
      <w:r>
        <w:rPr>
          <w:rFonts w:hint="eastAsia" w:ascii="楷体_GB2312" w:hAnsi="楷体_GB2312" w:eastAsia="楷体_GB2312" w:cs="楷体_GB2312"/>
          <w:bCs w:val="0"/>
          <w:sz w:val="32"/>
          <w:szCs w:val="32"/>
          <w:highlight w:val="none"/>
          <w:lang w:val="en-GB" w:eastAsia="zh-CN"/>
        </w:rPr>
        <w:t>（四）</w:t>
      </w:r>
      <w:r>
        <w:rPr>
          <w:rFonts w:hint="eastAsia" w:ascii="楷体_GB2312" w:hAnsi="楷体_GB2312" w:eastAsia="楷体_GB2312" w:cs="楷体_GB2312"/>
          <w:bCs w:val="0"/>
          <w:sz w:val="32"/>
          <w:szCs w:val="32"/>
          <w:highlight w:val="none"/>
          <w:lang w:val="en-GB"/>
        </w:rPr>
        <w:t>流动性覆盖率</w:t>
      </w:r>
    </w:p>
    <w:p>
      <w:pPr>
        <w:keepNext w:val="0"/>
        <w:keepLines w:val="0"/>
        <w:pageBreakBefore w:val="0"/>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仿宋_GB2312" w:hAnsi="Times New Roman" w:eastAsia="仿宋_GB2312" w:cs="Times New Roman"/>
          <w:sz w:val="32"/>
          <w:szCs w:val="32"/>
          <w:highlight w:val="none"/>
          <w:lang w:eastAsia="zh-CN"/>
        </w:rPr>
      </w:pPr>
      <w:r>
        <w:rPr>
          <w:rFonts w:hint="eastAsia" w:ascii="仿宋_GB2312" w:hAnsi="Times New Roman" w:eastAsia="仿宋_GB2312" w:cs="Times New Roman"/>
          <w:sz w:val="32"/>
          <w:szCs w:val="32"/>
          <w:highlight w:val="none"/>
          <w:lang w:eastAsia="zh-CN"/>
        </w:rPr>
        <w:t>衡量人身保险公司短期流动性情况，</w:t>
      </w:r>
      <w:r>
        <w:rPr>
          <w:rFonts w:hint="eastAsia" w:ascii="仿宋_GB2312" w:hAnsi="Times New Roman" w:eastAsia="仿宋_GB2312" w:cs="Times New Roman"/>
          <w:sz w:val="32"/>
          <w:szCs w:val="32"/>
          <w:highlight w:val="none"/>
        </w:rPr>
        <w:t>旨在确保保险公司具有充足的流动性</w:t>
      </w:r>
      <w:r>
        <w:rPr>
          <w:rFonts w:hint="eastAsia" w:ascii="仿宋_GB2312" w:hAnsi="Times New Roman" w:eastAsia="仿宋_GB2312" w:cs="Times New Roman"/>
          <w:sz w:val="32"/>
          <w:szCs w:val="32"/>
          <w:highlight w:val="none"/>
          <w:lang w:eastAsia="zh-CN"/>
        </w:rPr>
        <w:t>资金来源</w:t>
      </w:r>
      <w:r>
        <w:rPr>
          <w:rFonts w:hint="eastAsia" w:ascii="仿宋_GB2312" w:hAnsi="Times New Roman" w:eastAsia="仿宋_GB2312" w:cs="Times New Roman"/>
          <w:sz w:val="32"/>
          <w:szCs w:val="32"/>
          <w:highlight w:val="none"/>
        </w:rPr>
        <w:t>，能够在规定的流动性压力情景下，满足未来的流动性需求</w:t>
      </w:r>
      <w:r>
        <w:rPr>
          <w:rFonts w:hint="eastAsia" w:ascii="仿宋_GB2312" w:hAnsi="仿宋_GB2312" w:eastAsia="仿宋_GB2312" w:cs="仿宋_GB2312"/>
          <w:kern w:val="2"/>
          <w:sz w:val="32"/>
          <w:szCs w:val="32"/>
          <w:highlight w:val="none"/>
          <w:lang w:val="en-GB" w:eastAsia="zh-CN"/>
        </w:rPr>
        <w:t>，</w:t>
      </w:r>
      <w:r>
        <w:rPr>
          <w:rFonts w:hint="eastAsia" w:ascii="仿宋_GB2312" w:hAnsi="仿宋_GB2312" w:eastAsia="仿宋_GB2312" w:cs="仿宋_GB2312"/>
          <w:kern w:val="2"/>
          <w:sz w:val="32"/>
          <w:szCs w:val="32"/>
          <w:highlight w:val="none"/>
          <w:lang w:val="en-US" w:eastAsia="zh-CN"/>
        </w:rPr>
        <w:t>计算方法按照国家金融监督管理总局有关流动性风险监管规则执行</w:t>
      </w:r>
      <w:r>
        <w:rPr>
          <w:rFonts w:hint="eastAsia" w:ascii="仿宋_GB2312" w:hAnsi="仿宋_GB2312" w:eastAsia="仿宋_GB2312" w:cs="仿宋_GB2312"/>
          <w:kern w:val="2"/>
          <w:sz w:val="32"/>
          <w:szCs w:val="32"/>
          <w:highlight w:val="none"/>
          <w:lang w:val="en-GB" w:eastAsia="zh-CN"/>
        </w:rPr>
        <w:t>。</w:t>
      </w:r>
    </w:p>
    <w:p>
      <w:pPr>
        <w:keepNext w:val="0"/>
        <w:keepLines w:val="0"/>
        <w:widowControl/>
        <w:adjustRightInd w:val="0"/>
        <w:spacing w:beforeLines="0" w:afterLines="0" w:line="580" w:lineRule="exact"/>
        <w:ind w:firstLine="640"/>
        <w:contextualSpacing/>
        <w:outlineLvl w:val="2"/>
        <w:rPr>
          <w:rFonts w:hint="eastAsia" w:ascii="黑体" w:hAnsi="黑体" w:eastAsia="黑体" w:cs="黑体"/>
          <w:bCs/>
          <w:sz w:val="32"/>
          <w:szCs w:val="32"/>
          <w:highlight w:val="none"/>
          <w:lang w:val="en-US"/>
        </w:rPr>
      </w:pPr>
      <w:r>
        <w:rPr>
          <w:rFonts w:hint="eastAsia" w:ascii="黑体" w:hAnsi="黑体" w:eastAsia="黑体" w:cs="黑体"/>
          <w:bCs/>
          <w:sz w:val="32"/>
          <w:szCs w:val="32"/>
          <w:highlight w:val="none"/>
          <w:lang w:val="en-US" w:eastAsia="zh-CN"/>
        </w:rPr>
        <w:t>二、</w:t>
      </w:r>
      <w:r>
        <w:rPr>
          <w:rFonts w:hint="eastAsia" w:ascii="黑体" w:hAnsi="黑体" w:eastAsia="黑体" w:cs="黑体"/>
          <w:bCs/>
          <w:sz w:val="32"/>
          <w:szCs w:val="32"/>
          <w:highlight w:val="none"/>
          <w:lang w:val="en-US"/>
        </w:rPr>
        <w:t>监测指标</w:t>
      </w:r>
    </w:p>
    <w:p>
      <w:pPr>
        <w:keepNext w:val="0"/>
        <w:keepLines w:val="0"/>
        <w:pageBreakBefore w:val="0"/>
        <w:widowControl/>
        <w:numPr>
          <w:ilvl w:val="255"/>
          <w:numId w:val="0"/>
        </w:numPr>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Cs w:val="0"/>
          <w:sz w:val="32"/>
          <w:szCs w:val="32"/>
          <w:highlight w:val="none"/>
          <w:lang w:val="en-GB"/>
        </w:rPr>
      </w:pPr>
      <w:r>
        <w:rPr>
          <w:rFonts w:hint="eastAsia" w:ascii="楷体_GB2312" w:hAnsi="楷体_GB2312" w:eastAsia="楷体_GB2312" w:cs="楷体_GB2312"/>
          <w:bCs w:val="0"/>
          <w:sz w:val="32"/>
          <w:szCs w:val="32"/>
          <w:highlight w:val="none"/>
          <w:lang w:val="en-GB" w:eastAsia="zh-CN"/>
        </w:rPr>
        <w:t>（一）</w:t>
      </w:r>
      <w:r>
        <w:rPr>
          <w:rFonts w:hint="eastAsia" w:ascii="楷体_GB2312" w:hAnsi="楷体_GB2312" w:eastAsia="楷体_GB2312" w:cs="楷体_GB2312"/>
          <w:bCs w:val="0"/>
          <w:sz w:val="32"/>
          <w:szCs w:val="32"/>
          <w:highlight w:val="none"/>
          <w:lang w:val="en-GB"/>
        </w:rPr>
        <w:t>有效久期缺口</w:t>
      </w:r>
    </w:p>
    <w:p>
      <w:pPr>
        <w:pStyle w:val="10"/>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GB"/>
        </w:rPr>
        <w:t>修正</w:t>
      </w:r>
      <w:r>
        <w:rPr>
          <w:rFonts w:hint="eastAsia" w:ascii="仿宋_GB2312" w:hAnsi="仿宋_GB2312" w:eastAsia="仿宋_GB2312" w:cs="仿宋_GB2312"/>
          <w:sz w:val="32"/>
          <w:szCs w:val="32"/>
          <w:highlight w:val="none"/>
        </w:rPr>
        <w:t>久期衡量保险公司资产和负债在利率曲线平行移动情景下的价值变动率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有效久期</w:t>
      </w:r>
      <w:r>
        <w:rPr>
          <w:rFonts w:hint="eastAsia" w:ascii="仿宋_GB2312" w:hAnsi="仿宋_GB2312" w:eastAsia="仿宋_GB2312" w:cs="仿宋_GB2312"/>
          <w:sz w:val="32"/>
          <w:szCs w:val="32"/>
          <w:highlight w:val="none"/>
          <w:lang w:eastAsia="zh-CN"/>
        </w:rPr>
        <w:t>是在修正久期的基础上，</w:t>
      </w:r>
      <w:r>
        <w:rPr>
          <w:rFonts w:hint="eastAsia" w:ascii="仿宋_GB2312" w:hAnsi="仿宋_GB2312" w:eastAsia="仿宋_GB2312" w:cs="仿宋_GB2312"/>
          <w:sz w:val="32"/>
          <w:szCs w:val="32"/>
          <w:highlight w:val="none"/>
          <w:lang w:val="en-US"/>
        </w:rPr>
        <w:t>考虑保险公司部分资产的含权因素、分红利率和万能结算利率的可调节因素等对预期现金流的影响，</w:t>
      </w:r>
      <w:r>
        <w:rPr>
          <w:rFonts w:hint="eastAsia" w:ascii="仿宋_GB2312" w:hAnsi="仿宋_GB2312" w:eastAsia="仿宋_GB2312" w:cs="仿宋_GB2312"/>
          <w:sz w:val="32"/>
          <w:szCs w:val="32"/>
          <w:highlight w:val="none"/>
          <w:lang w:val="en-US" w:eastAsia="zh-CN"/>
        </w:rPr>
        <w:t>更为准确地</w:t>
      </w:r>
      <w:r>
        <w:rPr>
          <w:rFonts w:hint="eastAsia" w:ascii="仿宋_GB2312" w:hAnsi="仿宋_GB2312" w:eastAsia="仿宋_GB2312" w:cs="仿宋_GB2312"/>
          <w:sz w:val="32"/>
          <w:szCs w:val="32"/>
          <w:highlight w:val="none"/>
          <w:lang w:val="en-US"/>
        </w:rPr>
        <w:t>衡量保险公司资产和负债</w:t>
      </w:r>
      <w:r>
        <w:rPr>
          <w:rFonts w:hint="eastAsia" w:ascii="仿宋_GB2312" w:hAnsi="仿宋_GB2312" w:eastAsia="仿宋_GB2312" w:cs="仿宋_GB2312"/>
          <w:sz w:val="32"/>
          <w:szCs w:val="32"/>
          <w:highlight w:val="none"/>
          <w:lang w:val="en-US" w:eastAsia="zh-CN"/>
        </w:rPr>
        <w:t>对利率变化的敏感度</w:t>
      </w:r>
      <w:r>
        <w:rPr>
          <w:rFonts w:hint="eastAsia" w:ascii="仿宋_GB2312" w:hAnsi="仿宋_GB2312" w:eastAsia="仿宋_GB2312" w:cs="仿宋_GB2312"/>
          <w:sz w:val="32"/>
          <w:szCs w:val="32"/>
          <w:highlight w:val="none"/>
          <w:lang w:val="en-US"/>
        </w:rPr>
        <w:t>。</w:t>
      </w:r>
      <w:r>
        <w:rPr>
          <w:rFonts w:hint="eastAsia" w:ascii="仿宋_GB2312" w:hAnsi="仿宋_GB2312" w:eastAsia="仿宋_GB2312" w:cs="仿宋_GB2312"/>
          <w:sz w:val="32"/>
          <w:szCs w:val="32"/>
          <w:highlight w:val="none"/>
        </w:rPr>
        <w:t>规模调整用于调节资产规模与负债规模的不匹配。</w:t>
      </w:r>
    </w:p>
    <w:p>
      <w:pPr>
        <w:pStyle w:val="10"/>
        <w:keepNext w:val="0"/>
        <w:keepLines w:val="0"/>
        <w:pageBreakBefore w:val="0"/>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规模调整后的</w:t>
      </w:r>
      <w:r>
        <w:rPr>
          <w:rFonts w:hint="eastAsia" w:ascii="仿宋_GB2312" w:hAnsi="仿宋_GB2312" w:eastAsia="仿宋_GB2312" w:cs="仿宋_GB2312"/>
          <w:sz w:val="32"/>
          <w:szCs w:val="32"/>
          <w:highlight w:val="none"/>
          <w:lang w:val="en-US"/>
        </w:rPr>
        <w:t>有效</w:t>
      </w:r>
      <w:r>
        <w:rPr>
          <w:rFonts w:hint="eastAsia" w:ascii="仿宋_GB2312" w:hAnsi="仿宋_GB2312" w:eastAsia="仿宋_GB2312" w:cs="仿宋_GB2312"/>
          <w:sz w:val="32"/>
          <w:szCs w:val="32"/>
          <w:highlight w:val="none"/>
        </w:rPr>
        <w:t>久期缺口</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资产现金流有效久期×资产现金流的折现</w:t>
      </w:r>
      <w:r>
        <w:rPr>
          <w:rFonts w:hint="eastAsia" w:ascii="仿宋_GB2312" w:hAnsi="仿宋_GB2312" w:eastAsia="仿宋_GB2312" w:cs="仿宋_GB2312"/>
          <w:sz w:val="32"/>
          <w:szCs w:val="32"/>
          <w:highlight w:val="none"/>
          <w:lang w:eastAsia="zh-CN"/>
        </w:rPr>
        <w:t>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负债现金流流入有效久期×负债现金流流入的折现值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利率类金融衍生品</w:t>
      </w:r>
      <w:r>
        <w:rPr>
          <w:rFonts w:hint="eastAsia" w:ascii="仿宋_GB2312" w:hAnsi="仿宋_GB2312" w:eastAsia="仿宋_GB2312" w:cs="仿宋_GB2312"/>
          <w:sz w:val="32"/>
          <w:szCs w:val="32"/>
          <w:highlight w:val="none"/>
        </w:rPr>
        <w:t>买入合约的有效久期×</w:t>
      </w:r>
      <w:r>
        <w:rPr>
          <w:rFonts w:hint="eastAsia" w:ascii="仿宋_GB2312" w:hAnsi="仿宋_GB2312" w:eastAsia="仿宋_GB2312" w:cs="仿宋_GB2312"/>
          <w:sz w:val="32"/>
          <w:szCs w:val="32"/>
          <w:highlight w:val="none"/>
          <w:lang w:eastAsia="zh-CN"/>
        </w:rPr>
        <w:t>利率类金融衍生品</w:t>
      </w:r>
      <w:r>
        <w:rPr>
          <w:rFonts w:hint="eastAsia" w:ascii="仿宋_GB2312" w:hAnsi="仿宋_GB2312" w:eastAsia="仿宋_GB2312" w:cs="仿宋_GB2312"/>
          <w:sz w:val="32"/>
          <w:szCs w:val="32"/>
          <w:highlight w:val="none"/>
        </w:rPr>
        <w:t>买入合约的</w:t>
      </w:r>
      <w:r>
        <w:rPr>
          <w:rFonts w:hint="eastAsia" w:ascii="仿宋_GB2312" w:hAnsi="仿宋_GB2312" w:eastAsia="仿宋_GB2312" w:cs="仿宋_GB2312"/>
          <w:sz w:val="32"/>
          <w:szCs w:val="32"/>
          <w:highlight w:val="none"/>
          <w:lang w:val="en-US" w:eastAsia="zh-CN"/>
        </w:rPr>
        <w:t>名义本金</w:t>
      </w:r>
      <w:r>
        <w:rPr>
          <w:rFonts w:hint="eastAsia" w:ascii="仿宋_GB2312" w:hAnsi="仿宋_GB2312" w:eastAsia="仿宋_GB2312" w:cs="仿宋_GB2312"/>
          <w:sz w:val="32"/>
          <w:szCs w:val="32"/>
          <w:highlight w:val="none"/>
        </w:rPr>
        <w:t>之和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利率类金融衍生品</w:t>
      </w:r>
      <w:r>
        <w:rPr>
          <w:rFonts w:hint="eastAsia" w:ascii="仿宋_GB2312" w:hAnsi="仿宋_GB2312" w:eastAsia="仿宋_GB2312" w:cs="仿宋_GB2312"/>
          <w:sz w:val="32"/>
          <w:szCs w:val="32"/>
          <w:highlight w:val="none"/>
        </w:rPr>
        <w:t>卖出合约的有效久期×</w:t>
      </w:r>
      <w:r>
        <w:rPr>
          <w:rFonts w:hint="eastAsia" w:ascii="仿宋_GB2312" w:hAnsi="仿宋_GB2312" w:eastAsia="仿宋_GB2312" w:cs="仿宋_GB2312"/>
          <w:sz w:val="32"/>
          <w:szCs w:val="32"/>
          <w:highlight w:val="none"/>
          <w:lang w:eastAsia="zh-CN"/>
        </w:rPr>
        <w:t>利率类金融衍生品</w:t>
      </w:r>
      <w:r>
        <w:rPr>
          <w:rFonts w:hint="eastAsia" w:ascii="仿宋_GB2312" w:hAnsi="仿宋_GB2312" w:eastAsia="仿宋_GB2312" w:cs="仿宋_GB2312"/>
          <w:sz w:val="32"/>
          <w:szCs w:val="32"/>
          <w:highlight w:val="none"/>
        </w:rPr>
        <w:t>卖出合约的</w:t>
      </w:r>
      <w:r>
        <w:rPr>
          <w:rFonts w:hint="eastAsia" w:ascii="仿宋_GB2312" w:hAnsi="仿宋_GB2312" w:eastAsia="仿宋_GB2312" w:cs="仿宋_GB2312"/>
          <w:sz w:val="32"/>
          <w:szCs w:val="32"/>
          <w:highlight w:val="none"/>
          <w:lang w:val="en-US" w:eastAsia="zh-CN"/>
        </w:rPr>
        <w:t>名义本金</w:t>
      </w:r>
      <w:r>
        <w:rPr>
          <w:rFonts w:hint="eastAsia" w:ascii="仿宋_GB2312" w:hAnsi="仿宋_GB2312" w:eastAsia="仿宋_GB2312" w:cs="仿宋_GB2312"/>
          <w:sz w:val="32"/>
          <w:szCs w:val="32"/>
          <w:highlight w:val="none"/>
        </w:rPr>
        <w:t>之和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负债现金流流出的折现值</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负债现金流流出有效久期</w:t>
      </w:r>
    </w:p>
    <w:p>
      <w:pPr>
        <w:keepNext w:val="0"/>
        <w:keepLines w:val="0"/>
        <w:pageBreakBefore w:val="0"/>
        <w:widowControl/>
        <w:numPr>
          <w:ilvl w:val="255"/>
          <w:numId w:val="0"/>
        </w:numPr>
        <w:kinsoku/>
        <w:wordWrap/>
        <w:overflowPunct/>
        <w:topLinePunct w:val="0"/>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Cs w:val="0"/>
          <w:sz w:val="32"/>
          <w:szCs w:val="32"/>
          <w:highlight w:val="none"/>
          <w:lang w:val="en-GB"/>
        </w:rPr>
      </w:pPr>
      <w:r>
        <w:rPr>
          <w:rFonts w:hint="eastAsia" w:ascii="楷体_GB2312" w:hAnsi="楷体_GB2312" w:eastAsia="楷体_GB2312" w:cs="楷体_GB2312"/>
          <w:bCs w:val="0"/>
          <w:sz w:val="32"/>
          <w:szCs w:val="32"/>
          <w:highlight w:val="none"/>
          <w:lang w:val="en-GB" w:eastAsia="zh-CN"/>
        </w:rPr>
        <w:t>（二）</w:t>
      </w:r>
      <w:r>
        <w:rPr>
          <w:rFonts w:hint="eastAsia" w:ascii="楷体_GB2312" w:hAnsi="楷体_GB2312" w:eastAsia="楷体_GB2312" w:cs="楷体_GB2312"/>
          <w:bCs w:val="0"/>
          <w:sz w:val="32"/>
          <w:szCs w:val="32"/>
          <w:highlight w:val="none"/>
          <w:lang w:val="en-GB"/>
        </w:rPr>
        <w:t>基点价值变动率</w:t>
      </w:r>
    </w:p>
    <w:p>
      <w:pPr>
        <w:pStyle w:val="10"/>
        <w:keepNext w:val="0"/>
        <w:keepLines w:val="0"/>
        <w:pageBreakBefore w:val="0"/>
        <w:numPr>
          <w:ilvl w:val="255"/>
          <w:numId w:val="0"/>
        </w:numPr>
        <w:kinsoku/>
        <w:wordWrap/>
        <w:overflowPunct/>
        <w:topLinePunct w:val="0"/>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基点价值衡量保险公司资产和负债在</w:t>
      </w:r>
      <w:r>
        <w:rPr>
          <w:rFonts w:hint="eastAsia" w:ascii="仿宋_GB2312" w:hAnsi="仿宋_GB2312" w:eastAsia="仿宋_GB2312" w:cs="仿宋_GB2312"/>
          <w:sz w:val="32"/>
          <w:szCs w:val="32"/>
          <w:highlight w:val="none"/>
          <w:lang w:eastAsia="zh-CN"/>
        </w:rPr>
        <w:t>关键期限年上</w:t>
      </w:r>
      <w:r>
        <w:rPr>
          <w:rFonts w:hint="eastAsia" w:ascii="仿宋_GB2312" w:hAnsi="仿宋_GB2312" w:eastAsia="仿宋_GB2312" w:cs="仿宋_GB2312"/>
          <w:sz w:val="32"/>
          <w:szCs w:val="32"/>
          <w:highlight w:val="none"/>
        </w:rPr>
        <w:t>利率变动情景下的金额变化。通过建立期限结构模型，评估在利率曲线平移向上、平行向下、倾斜向上、倾斜向下、扭转上升、扭转下降六种情景下，保险公司资产和负债价值的不利变动对公司实际资本的影响。</w:t>
      </w:r>
    </w:p>
    <w:p>
      <w:pPr>
        <w:pageBreakBefore w:val="0"/>
        <w:kinsoku/>
        <w:wordWrap/>
        <w:overflowPunct/>
        <w:topLinePunct w:val="0"/>
        <w:bidi w:val="0"/>
        <w:snapToGrid/>
        <w:spacing w:beforeLines="0" w:afterLines="0" w:line="600"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基点价值变动率的计算公式如下：</w:t>
      </w:r>
    </w:p>
    <w:p>
      <w:pPr>
        <w:keepNext w:val="0"/>
        <w:keepLines w:val="0"/>
        <w:pageBreakBefore w:val="0"/>
        <w:widowControl/>
        <w:kinsoku/>
        <w:wordWrap/>
        <w:overflowPunct/>
        <w:topLinePunct w:val="0"/>
        <w:autoSpaceDE/>
        <w:autoSpaceDN/>
        <w:bidi w:val="0"/>
        <w:adjustRightInd/>
        <w:snapToGrid/>
        <w:spacing w:before="0" w:beforeLines="0" w:afterLines="0" w:line="800" w:lineRule="exact"/>
        <w:ind w:firstLine="0" w:firstLineChars="0"/>
        <w:textAlignment w:val="auto"/>
        <w:rPr>
          <w:rFonts w:hint="eastAsia" w:ascii="仿宋_GB2312" w:hAnsi="仿宋_GB2312" w:eastAsia="仿宋_GB2312" w:cs="仿宋_GB2312"/>
          <w:sz w:val="36"/>
          <w:szCs w:val="36"/>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Ratio</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
            <m:fPr>
              <m:ctrlPr>
                <w:rPr>
                  <w:rFonts w:hint="eastAsia" w:ascii="DejaVu Math TeX Gyre" w:hAnsi="DejaVu Math TeX Gyre" w:eastAsia="仿宋_GB2312" w:cs="仿宋_GB2312"/>
                  <w:sz w:val="32"/>
                  <w:szCs w:val="32"/>
                  <w:highlight w:val="none"/>
                </w:rPr>
              </m:ctrlPr>
            </m:fPr>
            <m:num>
              <m:func>
                <m:funcPr>
                  <m:ctrlPr>
                    <w:rPr>
                      <w:rFonts w:hint="eastAsia" w:ascii="DejaVu Math TeX Gyre" w:hAnsi="DejaVu Math TeX Gyre" w:eastAsia="仿宋_GB2312" w:cs="仿宋_GB2312"/>
                      <w:sz w:val="32"/>
                      <w:szCs w:val="32"/>
                      <w:highlight w:val="none"/>
                    </w:rPr>
                  </m:ctrlPr>
                </m:funcPr>
                <m:fName>
                  <m:limLow>
                    <m:limLowPr>
                      <m:ctrlPr>
                        <w:rPr>
                          <w:rFonts w:hint="eastAsia" w:ascii="DejaVu Math TeX Gyre" w:hAnsi="DejaVu Math TeX Gyre" w:eastAsia="仿宋_GB2312" w:cs="仿宋_GB2312"/>
                          <w:sz w:val="32"/>
                          <w:szCs w:val="32"/>
                          <w:highlight w:val="none"/>
                        </w:rPr>
                      </m:ctrlPr>
                    </m:limLowPr>
                    <m:e>
                      <m:r>
                        <m:rPr>
                          <m:sty m:val="p"/>
                        </m:rPr>
                        <w:rPr>
                          <w:rFonts w:hint="eastAsia" w:ascii="DejaVu Math TeX Gyre" w:hAnsi="DejaVu Math TeX Gyre" w:eastAsia="仿宋_GB2312" w:cs="仿宋_GB2312"/>
                          <w:sz w:val="32"/>
                          <w:szCs w:val="32"/>
                          <w:highlight w:val="none"/>
                        </w:rPr>
                        <m:t>Max</m:t>
                      </m:r>
                      <m:ctrlPr>
                        <w:rPr>
                          <w:rFonts w:hint="eastAsia" w:ascii="DejaVu Math TeX Gyre" w:hAnsi="DejaVu Math TeX Gyre" w:eastAsia="仿宋_GB2312" w:cs="仿宋_GB2312"/>
                          <w:sz w:val="32"/>
                          <w:szCs w:val="32"/>
                          <w:highlight w:val="none"/>
                        </w:rPr>
                      </m:ctrlPr>
                    </m:e>
                    <m:lim>
                      <m:r>
                        <m:rPr>
                          <m:sty m:val="p"/>
                        </m:rPr>
                        <w:rPr>
                          <w:rFonts w:hint="eastAsia" w:ascii="DejaVu Math TeX Gyre" w:hAnsi="DejaVu Math TeX Gyre" w:eastAsia="仿宋_GB2312" w:cs="仿宋_GB2312"/>
                          <w:sz w:val="32"/>
                          <w:szCs w:val="32"/>
                          <w:highlight w:val="none"/>
                        </w:rPr>
                        <m:t>i</m:t>
                      </m:r>
                      <m:ctrlPr>
                        <w:rPr>
                          <w:rFonts w:hint="eastAsia" w:ascii="DejaVu Math TeX Gyre" w:hAnsi="DejaVu Math TeX Gyre" w:eastAsia="仿宋_GB2312" w:cs="仿宋_GB2312"/>
                          <w:sz w:val="32"/>
                          <w:szCs w:val="32"/>
                          <w:highlight w:val="none"/>
                        </w:rPr>
                      </m:ctrlPr>
                    </m:lim>
                  </m:limLow>
                  <m:ctrlPr>
                    <w:rPr>
                      <w:rFonts w:hint="eastAsia" w:ascii="DejaVu Math TeX Gyre" w:hAnsi="DejaVu Math TeX Gyre" w:eastAsia="仿宋_GB2312" w:cs="仿宋_GB2312"/>
                      <w:sz w:val="32"/>
                      <w:szCs w:val="32"/>
                      <w:highlight w:val="none"/>
                    </w:rPr>
                  </m:ctrlPr>
                </m:fName>
                <m:e>
                  <m:d>
                    <m:dPr>
                      <m:ctrlPr>
                        <w:rPr>
                          <w:rFonts w:hint="eastAsia" w:ascii="DejaVu Math TeX Gyre" w:hAnsi="DejaVu Math TeX Gyre" w:eastAsia="仿宋_GB2312" w:cs="仿宋_GB2312"/>
                          <w:sz w:val="32"/>
                          <w:szCs w:val="32"/>
                          <w:highlight w:val="none"/>
                        </w:rPr>
                      </m:ctrlPr>
                    </m:dPr>
                    <m:e>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Sum</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lang w:eastAsia="zh-CN"/>
                        </w:rPr>
                        <m:t>，</m:t>
                      </m:r>
                      <m:r>
                        <m:rPr>
                          <m:sty m:val="p"/>
                        </m:rPr>
                        <w:rPr>
                          <w:rFonts w:hint="default" w:ascii="DejaVu Math TeX Gyre" w:hAnsi="DejaVu Math TeX Gyre" w:eastAsia="仿宋_GB2312" w:cs="仿宋_GB2312"/>
                          <w:sz w:val="32"/>
                          <w:szCs w:val="32"/>
                          <w:highlight w:val="none"/>
                          <w:lang w:val="en-US" w:eastAsia="zh-CN"/>
                        </w:rPr>
                        <m:t>0</m:t>
                      </m:r>
                      <m:ctrlPr>
                        <w:rPr>
                          <w:rFonts w:hint="eastAsia" w:ascii="DejaVu Math TeX Gyre" w:hAnsi="DejaVu Math TeX Gyre" w:eastAsia="仿宋_GB2312" w:cs="仿宋_GB2312"/>
                          <w:sz w:val="32"/>
                          <w:szCs w:val="32"/>
                          <w:highlight w:val="none"/>
                        </w:rPr>
                      </m:ctrlPr>
                    </m:e>
                  </m:d>
                  <m:ctrlPr>
                    <w:rPr>
                      <w:rFonts w:hint="eastAsia" w:ascii="DejaVu Math TeX Gyre" w:hAnsi="DejaVu Math TeX Gyre" w:eastAsia="仿宋_GB2312" w:cs="仿宋_GB2312"/>
                      <w:sz w:val="32"/>
                      <w:szCs w:val="32"/>
                      <w:highlight w:val="none"/>
                    </w:rPr>
                  </m:ctrlPr>
                </m:e>
              </m:func>
              <m:ctrlPr>
                <w:rPr>
                  <w:rFonts w:hint="eastAsia" w:ascii="DejaVu Math TeX Gyre" w:hAnsi="DejaVu Math TeX Gyre" w:eastAsia="仿宋_GB2312" w:cs="仿宋_GB2312"/>
                  <w:sz w:val="32"/>
                  <w:szCs w:val="32"/>
                  <w:highlight w:val="none"/>
                </w:rPr>
              </m:ctrlPr>
            </m:num>
            <m:den>
              <m:r>
                <m:rPr>
                  <m:sty m:val="p"/>
                </m:rPr>
                <w:rPr>
                  <w:rFonts w:hint="eastAsia" w:ascii="DejaVu Math TeX Gyre" w:hAnsi="DejaVu Math TeX Gyre" w:eastAsia="仿宋_GB2312" w:cs="仿宋_GB2312"/>
                  <w:sz w:val="32"/>
                  <w:szCs w:val="32"/>
                  <w:highlight w:val="none"/>
                </w:rPr>
                <m:t>Capital</m:t>
              </m:r>
              <m:ctrlPr>
                <w:rPr>
                  <w:rFonts w:hint="eastAsia" w:ascii="DejaVu Math TeX Gyre" w:hAnsi="DejaVu Math TeX Gyre" w:eastAsia="仿宋_GB2312" w:cs="仿宋_GB2312"/>
                  <w:sz w:val="32"/>
                  <w:szCs w:val="32"/>
                  <w:highlight w:val="none"/>
                </w:rPr>
              </m:ctrlPr>
            </m:den>
          </m:f>
        </m:oMath>
      </m:oMathPara>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Ratio</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为基点价值变动率；</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Sum</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为第i个情景下基点价值变动的合计；</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Capital</m:t>
        </m:r>
      </m:oMath>
      <w:r>
        <w:rPr>
          <w:rFonts w:hint="eastAsia" w:ascii="仿宋_GB2312" w:hAnsi="仿宋_GB2312" w:eastAsia="仿宋_GB2312" w:cs="仿宋_GB2312"/>
          <w:sz w:val="32"/>
          <w:szCs w:val="32"/>
          <w:highlight w:val="none"/>
          <w:lang w:val="en-GB"/>
        </w:rPr>
        <w:t>为公司实际资本。</w:t>
      </w:r>
    </w:p>
    <w:p>
      <w:pPr>
        <w:keepNext w:val="0"/>
        <w:keepLines w:val="0"/>
        <w:pageBreakBefore w:val="0"/>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其中，关键期限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N的基点价值变动为：</w:t>
      </w:r>
    </w:p>
    <w:p>
      <w:pPr>
        <w:keepNext w:val="0"/>
        <w:keepLines w:val="0"/>
        <w:pageBreakBefore w:val="0"/>
        <w:widowControl/>
        <w:kinsoku/>
        <w:wordWrap/>
        <w:overflowPunct/>
        <w:topLinePunct w:val="0"/>
        <w:autoSpaceDE/>
        <w:autoSpaceDN/>
        <w:bidi w:val="0"/>
        <w:adjustRightInd/>
        <w:snapToGrid/>
        <w:spacing w:before="0" w:beforeLines="0" w:afterLines="0" w:line="600" w:lineRule="exact"/>
        <w:ind w:firstLine="0" w:firstLineChars="0"/>
        <w:textAlignment w:val="auto"/>
        <w:rPr>
          <w:rFonts w:hint="eastAsia" w:ascii="仿宋_GB2312" w:hAnsi="仿宋_GB2312" w:eastAsia="仿宋_GB2312" w:cs="仿宋_GB2312"/>
          <w:sz w:val="32"/>
          <w:szCs w:val="32"/>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
            <m:fPr>
              <m:ctrlPr>
                <w:rPr>
                  <w:rFonts w:hint="eastAsia" w:ascii="DejaVu Math TeX Gyre" w:hAnsi="DejaVu Math TeX Gyre" w:eastAsia="仿宋_GB2312" w:cs="仿宋_GB2312"/>
                  <w:sz w:val="32"/>
                  <w:szCs w:val="32"/>
                  <w:highlight w:val="none"/>
                </w:rPr>
              </m:ctrlPr>
            </m:fPr>
            <m:num>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num>
            <m:den>
              <m:r>
                <m:rPr>
                  <m:sty m:val="p"/>
                </m:rPr>
                <w:rPr>
                  <w:rFonts w:hint="eastAsia" w:ascii="DejaVu Math TeX Gyre" w:hAnsi="DejaVu Math TeX Gyre" w:eastAsia="仿宋_GB2312" w:cs="仿宋_GB2312"/>
                  <w:sz w:val="32"/>
                  <w:szCs w:val="32"/>
                  <w:highlight w:val="none"/>
                </w:rPr>
                <m:t>10</m:t>
              </m:r>
              <m:ctrlPr>
                <w:rPr>
                  <w:rFonts w:hint="eastAsia" w:ascii="DejaVu Math TeX Gyre" w:hAnsi="DejaVu Math TeX Gyre" w:eastAsia="仿宋_GB2312" w:cs="仿宋_GB2312"/>
                  <w:sz w:val="32"/>
                  <w:szCs w:val="32"/>
                  <w:highlight w:val="none"/>
                </w:rPr>
              </m:ctrlPr>
            </m:den>
          </m:f>
        </m:oMath>
      </m:oMathPara>
    </w:p>
    <w:p>
      <w:pPr>
        <w:keepNext w:val="0"/>
        <w:keepLines w:val="0"/>
        <w:pageBreakBefore w:val="0"/>
        <w:widowControl/>
        <w:kinsoku/>
        <w:wordWrap/>
        <w:overflowPunct/>
        <w:topLinePunct w:val="0"/>
        <w:autoSpaceDE/>
        <w:autoSpaceDN/>
        <w:bidi w:val="0"/>
        <w:adjustRightInd/>
        <w:snapToGrid/>
        <w:spacing w:before="0" w:beforeLines="0" w:afterLines="0" w:line="600" w:lineRule="exact"/>
        <w:ind w:firstLine="0" w:firstLineChars="0"/>
        <w:textAlignment w:val="auto"/>
        <w:rPr>
          <w:rFonts w:hint="eastAsia" w:ascii="仿宋_GB2312" w:hAnsi="仿宋_GB2312" w:eastAsia="仿宋_GB2312" w:cs="仿宋_GB2312"/>
          <w:sz w:val="32"/>
          <w:szCs w:val="32"/>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All</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
            <m:fPr>
              <m:ctrlPr>
                <w:rPr>
                  <w:rFonts w:hint="eastAsia" w:ascii="DejaVu Math TeX Gyre" w:hAnsi="DejaVu Math TeX Gyre" w:eastAsia="仿宋_GB2312" w:cs="仿宋_GB2312"/>
                  <w:sz w:val="32"/>
                  <w:szCs w:val="32"/>
                  <w:highlight w:val="none"/>
                </w:rPr>
              </m:ctrlPr>
            </m:fPr>
            <m:num>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num>
            <m:den>
              <m:r>
                <m:rPr>
                  <m:sty m:val="p"/>
                </m:rPr>
                <w:rPr>
                  <w:rFonts w:hint="eastAsia" w:ascii="DejaVu Math TeX Gyre" w:hAnsi="DejaVu Math TeX Gyre" w:eastAsia="仿宋_GB2312" w:cs="仿宋_GB2312"/>
                  <w:sz w:val="32"/>
                  <w:szCs w:val="32"/>
                  <w:highlight w:val="none"/>
                </w:rPr>
                <m:t>10</m:t>
              </m:r>
              <m:ctrlPr>
                <w:rPr>
                  <w:rFonts w:hint="eastAsia" w:ascii="DejaVu Math TeX Gyre" w:hAnsi="DejaVu Math TeX Gyre" w:eastAsia="仿宋_GB2312" w:cs="仿宋_GB2312"/>
                  <w:sz w:val="32"/>
                  <w:szCs w:val="32"/>
                  <w:highlight w:val="none"/>
                </w:rPr>
              </m:ctrlPr>
            </m:den>
          </m:f>
        </m:oMath>
      </m:oMathPara>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N的基点价值变动；</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N对应的基点价值；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w:t>
      </w:r>
      <w:r>
        <w:rPr>
          <w:rFonts w:hint="eastAsia" w:ascii="仿宋_GB2312" w:hAnsi="仿宋_GB2312" w:eastAsia="仿宋_GB2312" w:cs="仿宋_GB2312"/>
          <w:sz w:val="32"/>
          <w:szCs w:val="32"/>
          <w:highlight w:val="none"/>
          <w:lang w:val="en-GB" w:eastAsia="zh-CN"/>
        </w:rPr>
        <w:t>利率</w:t>
      </w:r>
      <w:r>
        <w:rPr>
          <w:rFonts w:hint="eastAsia" w:ascii="仿宋_GB2312" w:hAnsi="仿宋_GB2312" w:eastAsia="仿宋_GB2312" w:cs="仿宋_GB2312"/>
          <w:sz w:val="32"/>
          <w:szCs w:val="32"/>
          <w:highlight w:val="none"/>
          <w:lang w:val="en-GB"/>
        </w:rPr>
        <w:t>变动幅度；</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All</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为公司普通账户关键期限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w:t>
      </w:r>
      <w:r>
        <w:rPr>
          <w:rFonts w:hint="eastAsia" w:ascii="仿宋_GB2312" w:hAnsi="仿宋_GB2312" w:eastAsia="仿宋_GB2312" w:cs="仿宋_GB2312"/>
          <w:sz w:val="32"/>
          <w:szCs w:val="32"/>
          <w:highlight w:val="none"/>
          <w:lang w:val="en-GB" w:eastAsia="zh-CN"/>
        </w:rPr>
        <w:t>对应</w:t>
      </w:r>
      <w:r>
        <w:rPr>
          <w:rFonts w:hint="eastAsia" w:ascii="仿宋_GB2312" w:hAnsi="仿宋_GB2312" w:eastAsia="仿宋_GB2312" w:cs="仿宋_GB2312"/>
          <w:sz w:val="32"/>
          <w:szCs w:val="32"/>
          <w:highlight w:val="none"/>
          <w:lang w:val="en-GB"/>
        </w:rPr>
        <w:t>的基点价值变动；</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为公司普通账户关键期限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N对应的资产现金流基点价值；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为公司普通账户关键期限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N对应的负债现金流流入基点价值；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DV10</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为公司普通账户关键期限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N对应的负债现金流流出基点价值。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公司普通账户基点价值变动的合计为：</w:t>
      </w:r>
    </w:p>
    <w:p>
      <w:pPr>
        <w:keepNext w:val="0"/>
        <w:keepLines w:val="0"/>
        <w:pageBreakBefore w:val="0"/>
        <w:widowControl/>
        <w:kinsoku/>
        <w:wordWrap/>
        <w:overflowPunct/>
        <w:topLinePunct w:val="0"/>
        <w:autoSpaceDE/>
        <w:autoSpaceDN/>
        <w:bidi w:val="0"/>
        <w:adjustRightInd/>
        <w:snapToGrid/>
        <w:spacing w:before="0" w:beforeLines="0" w:afterLines="0" w:line="600" w:lineRule="exact"/>
        <w:ind w:firstLine="0" w:firstLineChars="0"/>
        <w:textAlignment w:val="auto"/>
        <w:rPr>
          <w:rFonts w:hint="eastAsia" w:ascii="仿宋_GB2312" w:hAnsi="仿宋_GB2312" w:eastAsia="仿宋_GB2312" w:cs="仿宋_GB2312"/>
          <w:sz w:val="32"/>
          <w:szCs w:val="32"/>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Sum</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nary>
            <m:naryPr>
              <m:chr m:val="∑"/>
              <m:limLoc m:val="undOvr"/>
              <m:subHide m:val="1"/>
              <m:supHide m:val="1"/>
              <m:ctrlPr>
                <w:rPr>
                  <w:rFonts w:hint="eastAsia" w:ascii="DejaVu Math TeX Gyre" w:hAnsi="DejaVu Math TeX Gyre" w:eastAsia="仿宋_GB2312" w:cs="仿宋_GB2312"/>
                  <w:sz w:val="32"/>
                  <w:szCs w:val="32"/>
                  <w:highlight w:val="none"/>
                </w:rPr>
              </m:ctrlPr>
            </m:naryPr>
            <m:sub>
              <m:ctrlPr>
                <w:rPr>
                  <w:rFonts w:hint="eastAsia" w:ascii="DejaVu Math TeX Gyre" w:hAnsi="DejaVu Math TeX Gyre" w:eastAsia="仿宋_GB2312" w:cs="仿宋_GB2312"/>
                  <w:sz w:val="32"/>
                  <w:szCs w:val="32"/>
                  <w:highlight w:val="none"/>
                </w:rPr>
              </m:ctrlPr>
            </m:sub>
            <m:sup>
              <m:ctrlPr>
                <w:rPr>
                  <w:rFonts w:hint="eastAsia" w:ascii="DejaVu Math TeX Gyre" w:hAnsi="DejaVu Math TeX Gyre" w:eastAsia="仿宋_GB2312" w:cs="仿宋_GB2312"/>
                  <w:sz w:val="32"/>
                  <w:szCs w:val="32"/>
                  <w:highlight w:val="none"/>
                </w:rPr>
              </m:ctrlPr>
            </m:sup>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All</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nary>
          <m:r>
            <m:rPr>
              <m:sty m:val="p"/>
            </m:rPr>
            <w:rPr>
              <w:rFonts w:hint="eastAsia" w:ascii="DejaVu Math TeX Gyre" w:hAnsi="DejaVu Math TeX Gyre" w:eastAsia="仿宋_GB2312" w:cs="仿宋_GB2312"/>
              <w:sz w:val="32"/>
              <w:szCs w:val="32"/>
              <w:highlight w:val="none"/>
            </w:rPr>
            <m:t>+LA</m:t>
          </m:r>
        </m:oMath>
      </m:oMathPara>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6"/>
          <w:szCs w:val="36"/>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Sum</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为基点价值变动的合计；</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All</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为公司普通账户关键期限</w:t>
      </w:r>
      <w:r>
        <w:rPr>
          <w:rFonts w:hint="eastAsia" w:ascii="仿宋_GB2312" w:hAnsi="仿宋_GB2312" w:eastAsia="仿宋_GB2312" w:cs="仿宋_GB2312"/>
          <w:sz w:val="32"/>
          <w:szCs w:val="32"/>
          <w:highlight w:val="none"/>
          <w:shd w:val="clear" w:fill="FFFFFF"/>
          <w:lang w:val="en-GB"/>
        </w:rPr>
        <w:t>年</w:t>
      </w:r>
      <w:r>
        <w:rPr>
          <w:rFonts w:hint="eastAsia" w:ascii="仿宋_GB2312" w:hAnsi="仿宋_GB2312" w:eastAsia="仿宋_GB2312" w:cs="仿宋_GB2312"/>
          <w:sz w:val="32"/>
          <w:szCs w:val="32"/>
          <w:highlight w:val="none"/>
          <w:lang w:val="en-GB"/>
        </w:rPr>
        <w:t>N对应的基点价值变动；</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LA</m:t>
        </m:r>
      </m:oMath>
      <w:r>
        <w:rPr>
          <w:rFonts w:hint="eastAsia" w:ascii="仿宋_GB2312" w:hAnsi="仿宋_GB2312" w:eastAsia="仿宋_GB2312" w:cs="仿宋_GB2312"/>
          <w:sz w:val="32"/>
          <w:szCs w:val="32"/>
          <w:highlight w:val="none"/>
          <w:lang w:val="en-GB"/>
        </w:rPr>
        <w:t>为损失吸收效应调整，最大值为零。</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在</w:t>
      </w:r>
      <w:r>
        <w:rPr>
          <w:rFonts w:hint="eastAsia" w:ascii="仿宋_GB2312" w:hAnsi="仿宋_GB2312" w:eastAsia="仿宋_GB2312" w:cs="仿宋_GB2312"/>
          <w:sz w:val="32"/>
          <w:szCs w:val="32"/>
          <w:highlight w:val="none"/>
          <w:lang w:val="en-GB" w:eastAsia="zh-CN"/>
        </w:rPr>
        <w:t>利率</w:t>
      </w:r>
      <w:r>
        <w:rPr>
          <w:rFonts w:hint="eastAsia" w:ascii="仿宋_GB2312" w:hAnsi="仿宋_GB2312" w:eastAsia="仿宋_GB2312" w:cs="仿宋_GB2312"/>
          <w:sz w:val="32"/>
          <w:szCs w:val="32"/>
          <w:highlight w:val="none"/>
          <w:lang w:val="en-GB"/>
        </w:rPr>
        <w:t>变动情景为上升、下降、倾斜上、倾斜下、扭转上和扭转下时，计算分红保险和万能保险负债现金流流出的基点价值变动合计应考虑损失吸收效应调整。</w:t>
      </w:r>
      <m:oMath>
        <m:r>
          <m:rPr>
            <m:sty m:val="p"/>
          </m:rPr>
          <w:rPr>
            <w:rFonts w:hint="eastAsia" w:ascii="DejaVu Math TeX Gyre" w:hAnsi="DejaVu Math TeX Gyre" w:eastAsia="仿宋_GB2312" w:cs="仿宋_GB2312"/>
            <w:sz w:val="32"/>
            <w:szCs w:val="32"/>
            <w:highlight w:val="none"/>
          </w:rPr>
          <m:t>β</m:t>
        </m:r>
      </m:oMath>
      <w:r>
        <w:rPr>
          <w:rFonts w:hint="eastAsia" w:ascii="仿宋_GB2312" w:hAnsi="仿宋_GB2312" w:eastAsia="仿宋_GB2312" w:cs="仿宋_GB2312"/>
          <w:sz w:val="32"/>
          <w:szCs w:val="32"/>
          <w:highlight w:val="none"/>
          <w:lang w:val="en-GB"/>
        </w:rPr>
        <w:t>为分红保险和万能保险损失吸收效应的调整比例，计算方法如下：</w:t>
      </w:r>
    </w:p>
    <w:p>
      <w:pPr>
        <w:keepNext w:val="0"/>
        <w:keepLines w:val="0"/>
        <w:pageBreakBefore w:val="0"/>
        <w:widowControl/>
        <w:kinsoku/>
        <w:wordWrap/>
        <w:overflowPunct/>
        <w:topLinePunct w:val="0"/>
        <w:autoSpaceDE/>
        <w:autoSpaceDN/>
        <w:bidi w:val="0"/>
        <w:adjustRightInd/>
        <w:snapToGrid/>
        <w:spacing w:before="0" w:beforeLines="0" w:afterLines="0" w:line="880" w:lineRule="exact"/>
        <w:ind w:firstLine="0" w:firstLineChars="0"/>
        <w:textAlignment w:val="auto"/>
        <w:rPr>
          <w:rFonts w:hint="eastAsia" w:hAnsi="DejaVu Math TeX Gyre" w:eastAsia="仿宋_GB2312" w:cs="仿宋_GB2312"/>
          <w:i w:val="0"/>
          <w:sz w:val="32"/>
          <w:szCs w:val="32"/>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unc>
            <m:funcPr>
              <m:ctrlPr>
                <w:rPr>
                  <w:rFonts w:hint="eastAsia" w:ascii="DejaVu Math TeX Gyre" w:hAnsi="DejaVu Math TeX Gyre" w:eastAsia="仿宋_GB2312" w:cs="仿宋_GB2312"/>
                  <w:sz w:val="32"/>
                  <w:szCs w:val="32"/>
                  <w:highlight w:val="none"/>
                </w:rPr>
              </m:ctrlPr>
            </m:funcPr>
            <m:fName>
              <m:r>
                <m:rPr>
                  <m:sty m:val="p"/>
                </m:rPr>
                <w:rPr>
                  <w:rFonts w:hint="eastAsia" w:ascii="DejaVu Math TeX Gyre" w:hAnsi="DejaVu Math TeX Gyre" w:eastAsia="仿宋_GB2312" w:cs="仿宋_GB2312"/>
                  <w:sz w:val="32"/>
                  <w:szCs w:val="32"/>
                  <w:highlight w:val="none"/>
                </w:rPr>
                <m:t>Min</m:t>
              </m:r>
              <m:ctrlPr>
                <w:rPr>
                  <w:rFonts w:hint="eastAsia" w:ascii="DejaVu Math TeX Gyre" w:hAnsi="DejaVu Math TeX Gyre" w:eastAsia="仿宋_GB2312" w:cs="仿宋_GB2312"/>
                  <w:sz w:val="32"/>
                  <w:szCs w:val="32"/>
                  <w:highlight w:val="none"/>
                </w:rPr>
              </m:ctrlPr>
            </m:fName>
            <m:e>
              <m:d>
                <m:dPr>
                  <m:ctrlPr>
                    <w:rPr>
                      <w:rFonts w:hint="eastAsia" w:ascii="DejaVu Math TeX Gyre" w:hAnsi="DejaVu Math TeX Gyre" w:eastAsia="仿宋_GB2312" w:cs="仿宋_GB2312"/>
                      <w:sz w:val="32"/>
                      <w:szCs w:val="32"/>
                      <w:highlight w:val="none"/>
                    </w:rPr>
                  </m:ctrlPr>
                </m:d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cross−par</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，1−</m:t>
                  </m:r>
                  <m:f>
                    <m:fPr>
                      <m:ctrlPr>
                        <w:rPr>
                          <w:rFonts w:hint="eastAsia" w:ascii="DejaVu Math TeX Gyre" w:hAnsi="DejaVu Math TeX Gyre" w:eastAsia="仿宋_GB2312" w:cs="仿宋_GB2312"/>
                          <w:sz w:val="32"/>
                          <w:szCs w:val="32"/>
                          <w:highlight w:val="none"/>
                        </w:rPr>
                      </m:ctrlPr>
                    </m:fPr>
                    <m:num>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eff</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num>
                    <m:den>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mod</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den>
                  </m:f>
                  <m:ctrlPr>
                    <w:rPr>
                      <w:rFonts w:hint="eastAsia" w:ascii="DejaVu Math TeX Gyre" w:hAnsi="DejaVu Math TeX Gyre" w:eastAsia="仿宋_GB2312" w:cs="仿宋_GB2312"/>
                      <w:sz w:val="32"/>
                      <w:szCs w:val="32"/>
                      <w:highlight w:val="none"/>
                    </w:rPr>
                  </m:ctrlPr>
                </m:e>
              </m:d>
              <m:ctrlPr>
                <w:rPr>
                  <w:rFonts w:hint="eastAsia" w:ascii="DejaVu Math TeX Gyre" w:hAnsi="DejaVu Math TeX Gyre" w:eastAsia="仿宋_GB2312" w:cs="仿宋_GB2312"/>
                  <w:sz w:val="32"/>
                  <w:szCs w:val="32"/>
                  <w:highlight w:val="none"/>
                </w:rPr>
              </m:ctrlPr>
            </m:e>
          </m:func>
        </m:oMath>
      </m:oMathPara>
    </w:p>
    <w:p>
      <w:pPr>
        <w:keepNext w:val="0"/>
        <w:keepLines w:val="0"/>
        <w:pageBreakBefore w:val="0"/>
        <w:widowControl/>
        <w:kinsoku/>
        <w:wordWrap/>
        <w:overflowPunct/>
        <w:topLinePunct w:val="0"/>
        <w:autoSpaceDE/>
        <w:autoSpaceDN/>
        <w:bidi w:val="0"/>
        <w:adjustRightInd/>
        <w:snapToGrid/>
        <w:spacing w:before="0" w:beforeLines="0" w:afterLines="0" w:line="980" w:lineRule="exact"/>
        <w:ind w:firstLine="0" w:firstLineChars="0"/>
        <w:textAlignment w:val="auto"/>
        <w:rPr>
          <w:rFonts w:hint="eastAsia" w:hAnsi="DejaVu Math TeX Gyre" w:eastAsia="仿宋_GB2312" w:cs="仿宋_GB2312"/>
          <w:i w:val="0"/>
          <w:sz w:val="32"/>
          <w:szCs w:val="32"/>
          <w:highlight w:val="none"/>
          <w:lang w:val="en-GB"/>
        </w:rPr>
      </w:pPr>
      <m:oMathPara>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unc>
            <m:funcPr>
              <m:ctrlPr>
                <w:rPr>
                  <w:rFonts w:hint="eastAsia" w:ascii="DejaVu Math TeX Gyre" w:hAnsi="DejaVu Math TeX Gyre" w:eastAsia="仿宋_GB2312" w:cs="仿宋_GB2312"/>
                  <w:sz w:val="32"/>
                  <w:szCs w:val="32"/>
                  <w:highlight w:val="none"/>
                </w:rPr>
              </m:ctrlPr>
            </m:funcPr>
            <m:fName>
              <m:r>
                <m:rPr>
                  <m:sty m:val="p"/>
                </m:rPr>
                <w:rPr>
                  <w:rFonts w:hint="eastAsia" w:ascii="DejaVu Math TeX Gyre" w:hAnsi="DejaVu Math TeX Gyre" w:eastAsia="仿宋_GB2312" w:cs="仿宋_GB2312"/>
                  <w:sz w:val="32"/>
                  <w:szCs w:val="32"/>
                  <w:highlight w:val="none"/>
                </w:rPr>
                <m:t>Min</m:t>
              </m:r>
              <m:ctrlPr>
                <w:rPr>
                  <w:rFonts w:hint="eastAsia" w:ascii="DejaVu Math TeX Gyre" w:hAnsi="DejaVu Math TeX Gyre" w:eastAsia="仿宋_GB2312" w:cs="仿宋_GB2312"/>
                  <w:sz w:val="32"/>
                  <w:szCs w:val="32"/>
                  <w:highlight w:val="none"/>
                </w:rPr>
              </m:ctrlPr>
            </m:fName>
            <m:e>
              <m:d>
                <m:dPr>
                  <m:ctrlPr>
                    <w:rPr>
                      <w:rFonts w:hint="eastAsia" w:ascii="DejaVu Math TeX Gyre" w:hAnsi="DejaVu Math TeX Gyre" w:eastAsia="仿宋_GB2312" w:cs="仿宋_GB2312"/>
                      <w:sz w:val="32"/>
                      <w:szCs w:val="32"/>
                      <w:highlight w:val="none"/>
                    </w:rPr>
                  </m:ctrlPr>
                </m:d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cross−U</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，1−</m:t>
                  </m:r>
                  <m:f>
                    <m:fPr>
                      <m:ctrlPr>
                        <w:rPr>
                          <w:rFonts w:hint="eastAsia" w:ascii="DejaVu Math TeX Gyre" w:hAnsi="DejaVu Math TeX Gyre" w:eastAsia="仿宋_GB2312" w:cs="仿宋_GB2312"/>
                          <w:sz w:val="32"/>
                          <w:szCs w:val="32"/>
                          <w:highlight w:val="none"/>
                        </w:rPr>
                      </m:ctrlPr>
                    </m:fPr>
                    <m:num>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eff</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num>
                    <m:den>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mod</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den>
                  </m:f>
                  <m:ctrlPr>
                    <w:rPr>
                      <w:rFonts w:hint="eastAsia" w:ascii="DejaVu Math TeX Gyre" w:hAnsi="DejaVu Math TeX Gyre" w:eastAsia="仿宋_GB2312" w:cs="仿宋_GB2312"/>
                      <w:sz w:val="32"/>
                      <w:szCs w:val="32"/>
                      <w:highlight w:val="none"/>
                    </w:rPr>
                  </m:ctrlPr>
                </m:e>
              </m:d>
              <m:ctrlPr>
                <w:rPr>
                  <w:rFonts w:hint="eastAsia" w:ascii="DejaVu Math TeX Gyre" w:hAnsi="DejaVu Math TeX Gyre" w:eastAsia="仿宋_GB2312" w:cs="仿宋_GB2312"/>
                  <w:sz w:val="32"/>
                  <w:szCs w:val="32"/>
                  <w:highlight w:val="none"/>
                </w:rPr>
              </m:ctrlPr>
            </m:e>
          </m:func>
        </m:oMath>
      </m:oMathPara>
    </w:p>
    <w:p>
      <w:pPr>
        <w:keepNext w:val="0"/>
        <w:keepLines w:val="0"/>
        <w:pageBreakBefore w:val="0"/>
        <w:widowControl/>
        <w:kinsoku/>
        <w:wordWrap/>
        <w:overflowPunct/>
        <w:topLinePunct w:val="0"/>
        <w:autoSpaceDE/>
        <w:autoSpaceDN/>
        <w:bidi w:val="0"/>
        <w:adjustRightInd/>
        <w:snapToGrid/>
        <w:spacing w:before="0" w:beforeLines="0" w:afterLines="0" w:line="700" w:lineRule="exact"/>
        <w:ind w:firstLine="0" w:firstLineChars="0"/>
        <w:textAlignment w:val="auto"/>
        <w:rPr>
          <w:rFonts w:hint="eastAsia" w:ascii="仿宋_GB2312" w:hAnsi="仿宋_GB2312" w:eastAsia="仿宋_GB2312" w:cs="仿宋_GB2312"/>
          <w:sz w:val="32"/>
          <w:szCs w:val="32"/>
          <w:highlight w:val="none"/>
          <w:lang w:val="en-GB"/>
        </w:rPr>
      </w:pPr>
      <m:oMathPara>
        <m:oMath>
          <m:r>
            <m:rPr>
              <m:sty m:val="p"/>
            </m:rPr>
            <w:rPr>
              <w:rFonts w:hint="eastAsia" w:ascii="DejaVu Math TeX Gyre" w:hAnsi="DejaVu Math TeX Gyre" w:eastAsia="仿宋_GB2312" w:cs="仿宋_GB2312"/>
              <w:sz w:val="32"/>
              <w:szCs w:val="32"/>
              <w:highlight w:val="none"/>
            </w:rPr>
            <m:t>LA=</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unc>
            <m:funcPr>
              <m:ctrlPr>
                <w:rPr>
                  <w:rFonts w:hint="eastAsia" w:ascii="DejaVu Math TeX Gyre" w:hAnsi="DejaVu Math TeX Gyre" w:eastAsia="仿宋_GB2312" w:cs="仿宋_GB2312"/>
                  <w:sz w:val="32"/>
                  <w:szCs w:val="32"/>
                  <w:highlight w:val="none"/>
                </w:rPr>
              </m:ctrlPr>
            </m:funcPr>
            <m:fName>
              <m:r>
                <m:rPr>
                  <m:sty m:val="p"/>
                </m:rPr>
                <w:rPr>
                  <w:rFonts w:hint="eastAsia" w:ascii="DejaVu Math TeX Gyre" w:hAnsi="DejaVu Math TeX Gyre" w:eastAsia="仿宋_GB2312" w:cs="仿宋_GB2312"/>
                  <w:sz w:val="32"/>
                  <w:szCs w:val="32"/>
                  <w:highlight w:val="none"/>
                </w:rPr>
                <m:t>min⁡(</m:t>
              </m:r>
              <m:ctrlPr>
                <w:rPr>
                  <w:rFonts w:hint="eastAsia" w:ascii="DejaVu Math TeX Gyre" w:hAnsi="DejaVu Math TeX Gyre" w:eastAsia="仿宋_GB2312" w:cs="仿宋_GB2312"/>
                  <w:sz w:val="32"/>
                  <w:szCs w:val="32"/>
                  <w:highlight w:val="none"/>
                </w:rPr>
              </m:ctrlPr>
            </m:fName>
            <m:e>
              <m:nary>
                <m:naryPr>
                  <m:chr m:val="∑"/>
                  <m:limLoc m:val="undOvr"/>
                  <m:subHide m:val="1"/>
                  <m:supHide m:val="1"/>
                  <m:ctrlPr>
                    <w:rPr>
                      <w:rFonts w:hint="eastAsia" w:ascii="DejaVu Math TeX Gyre" w:hAnsi="DejaVu Math TeX Gyre" w:eastAsia="仿宋_GB2312" w:cs="仿宋_GB2312"/>
                      <w:sz w:val="32"/>
                      <w:szCs w:val="32"/>
                      <w:highlight w:val="none"/>
                    </w:rPr>
                  </m:ctrlPr>
                </m:naryPr>
                <m:sub>
                  <m:ctrlPr>
                    <w:rPr>
                      <w:rFonts w:hint="eastAsia" w:ascii="DejaVu Math TeX Gyre" w:hAnsi="DejaVu Math TeX Gyre" w:eastAsia="仿宋_GB2312" w:cs="仿宋_GB2312"/>
                      <w:sz w:val="32"/>
                      <w:szCs w:val="32"/>
                      <w:highlight w:val="none"/>
                    </w:rPr>
                  </m:ctrlPr>
                </m:sub>
                <m:sup>
                  <m:ctrlPr>
                    <w:rPr>
                      <w:rFonts w:hint="eastAsia" w:ascii="DejaVu Math TeX Gyre" w:hAnsi="DejaVu Math TeX Gyre" w:eastAsia="仿宋_GB2312" w:cs="仿宋_GB2312"/>
                      <w:sz w:val="32"/>
                      <w:szCs w:val="32"/>
                      <w:highlight w:val="none"/>
                    </w:rPr>
                  </m:ctrlPr>
                </m:sup>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nary>
              <m:r>
                <m:rPr>
                  <m:sty m:val="p"/>
                </m:rPr>
                <w:rPr>
                  <w:rFonts w:hint="eastAsia" w:ascii="DejaVu Math TeX Gyre" w:hAnsi="DejaVu Math TeX Gyre" w:eastAsia="仿宋_GB2312" w:cs="仿宋_GB2312"/>
                  <w:sz w:val="32"/>
                  <w:szCs w:val="32"/>
                  <w:highlight w:val="none"/>
                </w:rPr>
                <m:t>,0)</m:t>
              </m:r>
              <m:ctrlPr>
                <w:rPr>
                  <w:rFonts w:hint="eastAsia" w:ascii="DejaVu Math TeX Gyre" w:hAnsi="DejaVu Math TeX Gyre" w:eastAsia="仿宋_GB2312" w:cs="仿宋_GB2312"/>
                  <w:sz w:val="32"/>
                  <w:szCs w:val="32"/>
                  <w:highlight w:val="none"/>
                </w:rPr>
              </m:ctrlPr>
            </m:e>
          </m:func>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func>
            <m:funcPr>
              <m:ctrlPr>
                <w:rPr>
                  <w:rFonts w:hint="eastAsia" w:ascii="DejaVu Math TeX Gyre" w:hAnsi="DejaVu Math TeX Gyre" w:eastAsia="仿宋_GB2312" w:cs="仿宋_GB2312"/>
                  <w:sz w:val="32"/>
                  <w:szCs w:val="32"/>
                  <w:highlight w:val="none"/>
                </w:rPr>
              </m:ctrlPr>
            </m:funcPr>
            <m:fName>
              <m:r>
                <m:rPr>
                  <m:sty m:val="p"/>
                </m:rPr>
                <w:rPr>
                  <w:rFonts w:hint="eastAsia" w:ascii="DejaVu Math TeX Gyre" w:hAnsi="DejaVu Math TeX Gyre" w:eastAsia="仿宋_GB2312" w:cs="仿宋_GB2312"/>
                  <w:sz w:val="32"/>
                  <w:szCs w:val="32"/>
                  <w:highlight w:val="none"/>
                </w:rPr>
                <m:t>min⁡(</m:t>
              </m:r>
              <m:ctrlPr>
                <w:rPr>
                  <w:rFonts w:hint="eastAsia" w:ascii="DejaVu Math TeX Gyre" w:hAnsi="DejaVu Math TeX Gyre" w:eastAsia="仿宋_GB2312" w:cs="仿宋_GB2312"/>
                  <w:sz w:val="32"/>
                  <w:szCs w:val="32"/>
                  <w:highlight w:val="none"/>
                </w:rPr>
              </m:ctrlPr>
            </m:fName>
            <m:e>
              <m:nary>
                <m:naryPr>
                  <m:chr m:val="∑"/>
                  <m:limLoc m:val="undOvr"/>
                  <m:subHide m:val="1"/>
                  <m:supHide m:val="1"/>
                  <m:ctrlPr>
                    <w:rPr>
                      <w:rFonts w:hint="eastAsia" w:ascii="DejaVu Math TeX Gyre" w:hAnsi="DejaVu Math TeX Gyre" w:eastAsia="仿宋_GB2312" w:cs="仿宋_GB2312"/>
                      <w:sz w:val="32"/>
                      <w:szCs w:val="32"/>
                      <w:highlight w:val="none"/>
                    </w:rPr>
                  </m:ctrlPr>
                </m:naryPr>
                <m:sub>
                  <m:ctrlPr>
                    <w:rPr>
                      <w:rFonts w:hint="eastAsia" w:ascii="DejaVu Math TeX Gyre" w:hAnsi="DejaVu Math TeX Gyre" w:eastAsia="仿宋_GB2312" w:cs="仿宋_GB2312"/>
                      <w:sz w:val="32"/>
                      <w:szCs w:val="32"/>
                      <w:highlight w:val="none"/>
                    </w:rPr>
                  </m:ctrlPr>
                </m:sub>
                <m:sup>
                  <m:ctrlPr>
                    <w:rPr>
                      <w:rFonts w:hint="eastAsia" w:ascii="DejaVu Math TeX Gyre" w:hAnsi="DejaVu Math TeX Gyre" w:eastAsia="仿宋_GB2312" w:cs="仿宋_GB2312"/>
                      <w:sz w:val="32"/>
                      <w:szCs w:val="32"/>
                      <w:highlight w:val="none"/>
                    </w:rPr>
                  </m:ctrlPr>
                </m:sup>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DV</m:t>
                      </m:r>
                      <m:ctrlPr>
                        <w:rPr>
                          <w:rFonts w:hint="eastAsia" w:ascii="DejaVu Math TeX Gyre" w:hAnsi="DejaVu Math TeX Gyre" w:eastAsia="仿宋_GB2312" w:cs="仿宋_GB2312"/>
                          <w:sz w:val="32"/>
                          <w:szCs w:val="32"/>
                          <w:highlight w:val="none"/>
                        </w:rPr>
                      </m:ctrlPr>
                    </m:e>
                    <m:sub>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nary>
              <m:r>
                <m:rPr>
                  <m:sty m:val="p"/>
                </m:rPr>
                <w:rPr>
                  <w:rFonts w:hint="eastAsia" w:ascii="DejaVu Math TeX Gyre" w:hAnsi="DejaVu Math TeX Gyre" w:eastAsia="仿宋_GB2312" w:cs="仿宋_GB2312"/>
                  <w:sz w:val="32"/>
                  <w:szCs w:val="32"/>
                  <w:highlight w:val="none"/>
                </w:rPr>
                <m:t>,0)</m:t>
              </m:r>
              <m:ctrlPr>
                <w:rPr>
                  <w:rFonts w:hint="eastAsia" w:ascii="DejaVu Math TeX Gyre" w:hAnsi="DejaVu Math TeX Gyre" w:eastAsia="仿宋_GB2312" w:cs="仿宋_GB2312"/>
                  <w:sz w:val="32"/>
                  <w:szCs w:val="32"/>
                  <w:highlight w:val="none"/>
                </w:rPr>
              </m:ctrlPr>
            </m:e>
          </m:func>
        </m:oMath>
      </m:oMathPara>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cross−Par</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和</w:t>
      </w: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cross−U</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取值与偿付能力监管规则关于分红保险和万能保险合同损失吸收效应调整比率保持一致；</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和</w:t>
      </w: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β</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为分红保险和万能保险负债现金流流出的损失吸收系数；</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eff</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和</w:t>
      </w: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eff</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分别为分红保险和万能保险负债现金流流出的有效久期；</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mod</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和</w:t>
      </w:r>
      <m:oMath>
        <m:sSub>
          <m:sSubPr>
            <m:ctrlPr>
              <w:rPr>
                <w:rFonts w:hint="eastAsia" w:ascii="DejaVu Math TeX Gyre" w:hAnsi="DejaVu Math TeX Gyre" w:eastAsia="仿宋_GB2312" w:cs="仿宋_GB2312"/>
                <w:sz w:val="32"/>
                <w:szCs w:val="32"/>
                <w:highlight w:val="none"/>
              </w:rPr>
            </m:ctrlPr>
          </m:sSubPr>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mod</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分别为分红保险和万能保险负债现金流流出的修正久期；</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r>
          <m:rPr>
            <m:sty m:val="p"/>
          </m:rPr>
          <w:rPr>
            <w:rFonts w:hint="eastAsia" w:ascii="Cambria Math" w:hAnsi="Cambria Math" w:eastAsia="仿宋_GB2312" w:cs="仿宋_GB2312"/>
            <w:sz w:val="32"/>
            <w:szCs w:val="32"/>
            <w:highlight w:val="none"/>
          </w:rPr>
          <m:t>LA</m:t>
        </m:r>
      </m:oMath>
      <w:r>
        <w:rPr>
          <w:rFonts w:hint="eastAsia" w:ascii="仿宋_GB2312" w:hAnsi="仿宋_GB2312" w:eastAsia="仿宋_GB2312" w:cs="仿宋_GB2312"/>
          <w:sz w:val="32"/>
          <w:szCs w:val="32"/>
          <w:highlight w:val="none"/>
          <w:lang w:val="en-GB"/>
        </w:rPr>
        <w:t>为损失吸收效应调整，最大值为零；</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nary>
          <m:naryPr>
            <m:chr m:val="∑"/>
            <m:limLoc m:val="undOvr"/>
            <m:subHide m:val="1"/>
            <m:supHide m:val="1"/>
            <m:ctrlPr>
              <w:rPr>
                <w:rFonts w:hint="eastAsia" w:ascii="DejaVu Math TeX Gyre" w:hAnsi="DejaVu Math TeX Gyre" w:eastAsia="仿宋_GB2312" w:cs="仿宋_GB2312"/>
                <w:sz w:val="32"/>
                <w:szCs w:val="32"/>
                <w:highlight w:val="none"/>
              </w:rPr>
            </m:ctrlPr>
          </m:naryPr>
          <m:sub>
            <m:ctrlPr>
              <w:rPr>
                <w:rFonts w:hint="eastAsia" w:ascii="DejaVu Math TeX Gyre" w:hAnsi="DejaVu Math TeX Gyre" w:eastAsia="仿宋_GB2312" w:cs="仿宋_GB2312"/>
                <w:sz w:val="32"/>
                <w:szCs w:val="32"/>
                <w:highlight w:val="none"/>
              </w:rPr>
            </m:ctrlPr>
          </m:sub>
          <m:sup>
            <m:ctrlPr>
              <w:rPr>
                <w:rFonts w:hint="eastAsia" w:ascii="DejaVu Math TeX Gyre" w:hAnsi="DejaVu Math TeX Gyre" w:eastAsia="仿宋_GB2312" w:cs="仿宋_GB2312"/>
                <w:sz w:val="32"/>
                <w:szCs w:val="32"/>
                <w:highlight w:val="none"/>
              </w:rPr>
            </m:ctrlPr>
          </m:sup>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Par</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nary>
      </m:oMath>
      <w:r>
        <w:rPr>
          <w:rFonts w:hint="eastAsia" w:ascii="仿宋_GB2312" w:hAnsi="仿宋_GB2312" w:eastAsia="仿宋_GB2312" w:cs="仿宋_GB2312"/>
          <w:sz w:val="32"/>
          <w:szCs w:val="32"/>
          <w:highlight w:val="none"/>
          <w:lang w:val="en-GB"/>
        </w:rPr>
        <w:t>和</w:t>
      </w:r>
      <m:oMath>
        <m:nary>
          <m:naryPr>
            <m:chr m:val="∑"/>
            <m:limLoc m:val="undOvr"/>
            <m:subHide m:val="1"/>
            <m:supHide m:val="1"/>
            <m:ctrlPr>
              <w:rPr>
                <w:rFonts w:hint="eastAsia" w:ascii="DejaVu Math TeX Gyre" w:hAnsi="DejaVu Math TeX Gyre" w:eastAsia="仿宋_GB2312" w:cs="仿宋_GB2312"/>
                <w:sz w:val="32"/>
                <w:szCs w:val="32"/>
                <w:highlight w:val="none"/>
              </w:rPr>
            </m:ctrlPr>
          </m:naryPr>
          <m:sub>
            <m:ctrlPr>
              <w:rPr>
                <w:rFonts w:hint="eastAsia" w:ascii="DejaVu Math TeX Gyre" w:hAnsi="DejaVu Math TeX Gyre" w:eastAsia="仿宋_GB2312" w:cs="仿宋_GB2312"/>
                <w:sz w:val="32"/>
                <w:szCs w:val="32"/>
                <w:highlight w:val="none"/>
              </w:rPr>
            </m:ctrlPr>
          </m:sub>
          <m:sup>
            <m:ctrlPr>
              <w:rPr>
                <w:rFonts w:hint="eastAsia" w:ascii="DejaVu Math TeX Gyre" w:hAnsi="DejaVu Math TeX Gyre" w:eastAsia="仿宋_GB2312" w:cs="仿宋_GB2312"/>
                <w:sz w:val="32"/>
                <w:szCs w:val="32"/>
                <w:highlight w:val="none"/>
              </w:rPr>
            </m:ctrlPr>
          </m:sup>
          <m:e>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X</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U</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e>
        </m:nary>
      </m:oMath>
      <w:r>
        <w:rPr>
          <w:rFonts w:hint="eastAsia" w:ascii="仿宋_GB2312" w:hAnsi="仿宋_GB2312" w:eastAsia="仿宋_GB2312" w:cs="仿宋_GB2312"/>
          <w:sz w:val="32"/>
          <w:szCs w:val="32"/>
          <w:highlight w:val="none"/>
          <w:lang w:val="en-GB"/>
        </w:rPr>
        <w:t>分别为分红保险和万能保险负债现金流流出的</w:t>
      </w:r>
      <w:r>
        <w:rPr>
          <w:rFonts w:hint="eastAsia" w:ascii="仿宋_GB2312" w:hAnsi="仿宋_GB2312" w:eastAsia="仿宋_GB2312" w:cs="仿宋_GB2312"/>
          <w:sz w:val="32"/>
          <w:szCs w:val="32"/>
          <w:highlight w:val="none"/>
          <w:lang w:val="en-GB" w:eastAsia="zh-CN"/>
        </w:rPr>
        <w:t>基点</w:t>
      </w:r>
      <w:r>
        <w:rPr>
          <w:rFonts w:hint="eastAsia" w:ascii="仿宋_GB2312" w:hAnsi="仿宋_GB2312" w:eastAsia="仿宋_GB2312" w:cs="仿宋_GB2312"/>
          <w:sz w:val="32"/>
          <w:szCs w:val="32"/>
          <w:highlight w:val="none"/>
          <w:lang w:val="en-GB"/>
        </w:rPr>
        <w:t>价值变动合计。</w:t>
      </w:r>
    </w:p>
    <w:p>
      <w:pPr>
        <w:keepNext w:val="0"/>
        <w:keepLines w:val="0"/>
        <w:pageBreakBefore w:val="0"/>
        <w:numPr>
          <w:ilvl w:val="255"/>
          <w:numId w:val="0"/>
        </w:numPr>
        <w:kinsoku/>
        <w:wordWrap/>
        <w:overflowPunct/>
        <w:topLinePunct w:val="0"/>
        <w:autoSpaceDE/>
        <w:autoSpaceDN/>
        <w:bidi w:val="0"/>
        <w:snapToGrid/>
        <w:spacing w:line="580" w:lineRule="exact"/>
        <w:ind w:firstLine="640" w:firstLineChars="200"/>
        <w:textAlignment w:val="auto"/>
        <w:outlineLvl w:val="2"/>
        <w:rPr>
          <w:rFonts w:hint="eastAsia" w:ascii="楷体" w:hAnsi="楷体" w:eastAsia="楷体" w:cs="楷体"/>
          <w:bCs w:val="0"/>
          <w:sz w:val="32"/>
          <w:szCs w:val="32"/>
          <w:highlight w:val="none"/>
          <w:lang w:val="en-GB" w:eastAsia="zh-CN"/>
        </w:rPr>
      </w:pPr>
      <w:r>
        <w:rPr>
          <w:rFonts w:hint="eastAsia" w:ascii="楷体_GB2312" w:hAnsi="楷体_GB2312" w:eastAsia="楷体_GB2312" w:cs="楷体_GB2312"/>
          <w:bCs w:val="0"/>
          <w:sz w:val="32"/>
          <w:szCs w:val="32"/>
          <w:highlight w:val="none"/>
          <w:lang w:val="en-GB" w:eastAsia="zh-CN"/>
        </w:rPr>
        <w:t>（三）利差</w:t>
      </w:r>
      <w:r>
        <w:rPr>
          <w:rFonts w:hint="eastAsia" w:ascii="楷体_GB2312" w:hAnsi="楷体_GB2312" w:eastAsia="楷体_GB2312" w:cs="楷体_GB2312"/>
          <w:bCs w:val="0"/>
          <w:sz w:val="32"/>
          <w:szCs w:val="32"/>
          <w:highlight w:val="none"/>
          <w:shd w:val="clear" w:fill="FFFFFF"/>
          <w:lang w:val="en-GB" w:eastAsia="zh-CN"/>
        </w:rPr>
        <w:t>三</w:t>
      </w:r>
      <w:r>
        <w:rPr>
          <w:rFonts w:hint="eastAsia" w:ascii="楷体_GB2312" w:hAnsi="楷体_GB2312" w:eastAsia="楷体_GB2312" w:cs="楷体_GB2312"/>
          <w:bCs w:val="0"/>
          <w:sz w:val="32"/>
          <w:szCs w:val="32"/>
          <w:highlight w:val="none"/>
          <w:lang w:val="en-GB" w:eastAsia="zh-CN"/>
        </w:rPr>
        <w:t>（会计投资收益率与负债保证成本率差额）</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衡量人身保险公司</w:t>
      </w:r>
      <w:r>
        <w:rPr>
          <w:rFonts w:hint="eastAsia" w:ascii="仿宋_GB2312" w:hAnsi="仿宋_GB2312" w:eastAsia="仿宋_GB2312" w:cs="仿宋_GB2312"/>
          <w:sz w:val="32"/>
          <w:szCs w:val="32"/>
          <w:highlight w:val="none"/>
          <w:lang w:val="en-US" w:eastAsia="zh-CN"/>
        </w:rPr>
        <w:t>过去三年平均</w:t>
      </w:r>
      <w:r>
        <w:rPr>
          <w:rFonts w:hint="eastAsia" w:ascii="仿宋_GB2312" w:hAnsi="仿宋_GB2312" w:eastAsia="仿宋_GB2312" w:cs="仿宋_GB2312"/>
          <w:sz w:val="32"/>
          <w:szCs w:val="32"/>
          <w:highlight w:val="none"/>
          <w:lang w:val="en-GB"/>
        </w:rPr>
        <w:t>已实现的投资收益能否覆盖</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w:t>
      </w:r>
      <w:r>
        <w:rPr>
          <w:rFonts w:hint="eastAsia" w:ascii="仿宋_GB2312" w:hAnsi="仿宋_GB2312" w:eastAsia="仿宋_GB2312" w:cs="仿宋_GB2312"/>
          <w:sz w:val="32"/>
          <w:szCs w:val="32"/>
          <w:highlight w:val="none"/>
          <w:lang w:val="en-GB" w:eastAsia="zh-CN"/>
        </w:rPr>
        <w:t>的</w:t>
      </w:r>
      <w:r>
        <w:rPr>
          <w:rFonts w:hint="eastAsia" w:ascii="仿宋_GB2312" w:hAnsi="仿宋_GB2312" w:eastAsia="仿宋_GB2312" w:cs="仿宋_GB2312"/>
          <w:sz w:val="32"/>
          <w:szCs w:val="32"/>
          <w:highlight w:val="none"/>
          <w:lang w:val="en-GB"/>
        </w:rPr>
        <w:t>保证利益</w:t>
      </w:r>
      <w:r>
        <w:rPr>
          <w:rFonts w:hint="eastAsia" w:ascii="仿宋_GB2312" w:hAnsi="仿宋_GB2312" w:eastAsia="仿宋_GB2312" w:cs="仿宋_GB2312"/>
          <w:sz w:val="32"/>
          <w:szCs w:val="32"/>
          <w:highlight w:val="none"/>
        </w:rPr>
        <w:t>，反映公司的</w:t>
      </w:r>
      <w:r>
        <w:rPr>
          <w:rFonts w:hint="eastAsia" w:ascii="仿宋_GB2312" w:hAnsi="仿宋_GB2312" w:eastAsia="仿宋_GB2312" w:cs="仿宋_GB2312"/>
          <w:sz w:val="32"/>
          <w:szCs w:val="32"/>
          <w:highlight w:val="none"/>
          <w:lang w:eastAsia="zh-CN"/>
        </w:rPr>
        <w:t>中期</w:t>
      </w:r>
      <w:r>
        <w:rPr>
          <w:rFonts w:hint="eastAsia" w:ascii="仿宋_GB2312" w:hAnsi="仿宋_GB2312" w:eastAsia="仿宋_GB2312" w:cs="仿宋_GB2312"/>
          <w:sz w:val="32"/>
          <w:szCs w:val="32"/>
          <w:highlight w:val="none"/>
        </w:rPr>
        <w:t>成本收益匹配情况。规模调整用于调节资产规模与负债规模的不匹配。</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eastAsia="zh-CN"/>
        </w:rPr>
      </w:pPr>
      <w:r>
        <w:rPr>
          <w:rFonts w:hint="eastAsia" w:ascii="仿宋_GB2312" w:hAnsi="仿宋_GB2312" w:cs="仿宋_GB2312"/>
          <w:bCs/>
          <w:sz w:val="32"/>
          <w:szCs w:val="32"/>
          <w:highlight w:val="none"/>
          <w:lang w:val="en-GB" w:eastAsia="zh-CN"/>
        </w:rPr>
        <w:t>利差</w:t>
      </w:r>
      <w:r>
        <w:rPr>
          <w:rFonts w:hint="eastAsia" w:ascii="仿宋_GB2312" w:hAnsi="仿宋_GB2312" w:cs="仿宋_GB2312"/>
          <w:bCs/>
          <w:sz w:val="32"/>
          <w:szCs w:val="32"/>
          <w:highlight w:val="none"/>
          <w:shd w:val="clear" w:fill="FFFFFF"/>
          <w:lang w:val="en-US" w:eastAsia="zh-CN"/>
        </w:rPr>
        <w:t>三</w:t>
      </w:r>
      <w:r>
        <w:rPr>
          <w:rFonts w:hint="eastAsia" w:ascii="仿宋_GB2312" w:hAnsi="仿宋_GB2312" w:eastAsia="仿宋_GB2312" w:cs="仿宋_GB2312"/>
          <w:sz w:val="32"/>
          <w:szCs w:val="32"/>
          <w:highlight w:val="none"/>
          <w:lang w:val="en-GB"/>
        </w:rPr>
        <w:t>=</w:t>
      </w:r>
      <w:r>
        <w:rPr>
          <w:rFonts w:hint="eastAsia" w:ascii="仿宋_GB2312" w:hAnsi="仿宋_GB2312" w:eastAsia="仿宋_GB2312" w:cs="仿宋_GB2312"/>
          <w:sz w:val="32"/>
          <w:szCs w:val="32"/>
          <w:highlight w:val="none"/>
          <w:lang w:val="en-GB" w:eastAsia="zh-CN"/>
        </w:rPr>
        <w:t>过去</w:t>
      </w:r>
      <w:r>
        <w:rPr>
          <w:rFonts w:hint="eastAsia" w:ascii="仿宋_GB2312" w:hAnsi="仿宋_GB2312" w:eastAsia="仿宋_GB2312" w:cs="仿宋_GB2312"/>
          <w:sz w:val="32"/>
          <w:szCs w:val="32"/>
          <w:highlight w:val="none"/>
          <w:lang w:val="en-GB"/>
        </w:rPr>
        <w:t>三年平均会计投资收益率-</w:t>
      </w:r>
      <w:r>
        <w:rPr>
          <w:rFonts w:hint="eastAsia" w:ascii="仿宋_GB2312" w:hAnsi="仿宋_GB2312" w:eastAsia="仿宋_GB2312" w:cs="仿宋_GB2312"/>
          <w:sz w:val="32"/>
          <w:szCs w:val="32"/>
          <w:highlight w:val="none"/>
          <w:lang w:val="en-GB" w:eastAsia="zh-CN"/>
        </w:rPr>
        <w:t>过去三年平均</w:t>
      </w:r>
      <w:r>
        <w:rPr>
          <w:rFonts w:hint="eastAsia" w:ascii="仿宋_GB2312" w:hAnsi="仿宋_GB2312" w:eastAsia="仿宋_GB2312" w:cs="仿宋_GB2312"/>
          <w:sz w:val="32"/>
          <w:szCs w:val="32"/>
          <w:highlight w:val="none"/>
          <w:lang w:val="en-GB"/>
        </w:rPr>
        <w:t>负债</w:t>
      </w:r>
      <w:r>
        <w:rPr>
          <w:rFonts w:hint="eastAsia" w:ascii="仿宋_GB2312" w:hAnsi="仿宋_GB2312" w:eastAsia="仿宋_GB2312" w:cs="仿宋_GB2312"/>
          <w:sz w:val="32"/>
          <w:szCs w:val="32"/>
          <w:highlight w:val="none"/>
          <w:lang w:val="en-GB" w:eastAsia="zh-CN"/>
        </w:rPr>
        <w:t>保证</w:t>
      </w:r>
      <w:r>
        <w:rPr>
          <w:rFonts w:hint="eastAsia" w:ascii="仿宋_GB2312" w:hAnsi="仿宋_GB2312" w:eastAsia="仿宋_GB2312" w:cs="仿宋_GB2312"/>
          <w:sz w:val="32"/>
          <w:szCs w:val="32"/>
          <w:highlight w:val="none"/>
          <w:lang w:val="en-GB"/>
        </w:rPr>
        <w:t>成本率×</w:t>
      </w:r>
      <w:r>
        <w:rPr>
          <w:rFonts w:hint="eastAsia" w:ascii="仿宋_GB2312" w:hAnsi="仿宋_GB2312" w:eastAsia="仿宋_GB2312" w:cs="仿宋_GB2312"/>
          <w:sz w:val="32"/>
          <w:szCs w:val="32"/>
          <w:highlight w:val="none"/>
          <w:lang w:val="en-GB" w:eastAsia="zh-CN"/>
        </w:rPr>
        <w:t>（过去</w:t>
      </w:r>
      <w:r>
        <w:rPr>
          <w:rFonts w:hint="eastAsia" w:ascii="仿宋_GB2312" w:hAnsi="仿宋_GB2312" w:eastAsia="仿宋_GB2312" w:cs="仿宋_GB2312"/>
          <w:sz w:val="32"/>
          <w:szCs w:val="32"/>
          <w:highlight w:val="none"/>
          <w:lang w:val="en-GB"/>
        </w:rPr>
        <w:t>三年负债平均规模</w:t>
      </w:r>
      <w:r>
        <w:rPr>
          <w:rFonts w:hint="eastAsia" w:ascii="仿宋_GB2312" w:hAnsi="仿宋_GB2312" w:eastAsia="仿宋_GB2312" w:cs="仿宋_GB2312"/>
          <w:sz w:val="32"/>
          <w:szCs w:val="32"/>
          <w:highlight w:val="none"/>
          <w:lang w:val="en-GB" w:eastAsia="zh-CN"/>
        </w:rPr>
        <w:t>÷过去</w:t>
      </w:r>
      <w:r>
        <w:rPr>
          <w:rFonts w:hint="eastAsia" w:ascii="仿宋_GB2312" w:hAnsi="仿宋_GB2312" w:eastAsia="仿宋_GB2312" w:cs="仿宋_GB2312"/>
          <w:sz w:val="32"/>
          <w:szCs w:val="32"/>
          <w:highlight w:val="none"/>
          <w:lang w:val="en-GB"/>
        </w:rPr>
        <w:t>三年</w:t>
      </w:r>
      <w:r>
        <w:rPr>
          <w:rFonts w:hint="eastAsia" w:ascii="仿宋_GB2312" w:hAnsi="仿宋_GB2312" w:eastAsia="仿宋_GB2312" w:cs="仿宋_GB2312"/>
          <w:sz w:val="32"/>
          <w:szCs w:val="32"/>
          <w:highlight w:val="none"/>
          <w:lang w:val="en-US" w:eastAsia="zh-CN"/>
        </w:rPr>
        <w:t>调整后的</w:t>
      </w:r>
      <w:r>
        <w:rPr>
          <w:rFonts w:hint="eastAsia" w:ascii="仿宋_GB2312" w:hAnsi="仿宋_GB2312" w:eastAsia="仿宋_GB2312" w:cs="仿宋_GB2312"/>
          <w:sz w:val="32"/>
          <w:szCs w:val="32"/>
          <w:highlight w:val="none"/>
          <w:lang w:val="en-GB"/>
        </w:rPr>
        <w:t>资金运用平均净额</w:t>
      </w:r>
      <w:r>
        <w:rPr>
          <w:rFonts w:hint="eastAsia" w:ascii="仿宋_GB2312" w:hAnsi="仿宋_GB2312" w:eastAsia="仿宋_GB2312" w:cs="仿宋_GB2312"/>
          <w:sz w:val="32"/>
          <w:szCs w:val="32"/>
          <w:highlight w:val="none"/>
          <w:lang w:val="en-GB" w:eastAsia="zh-CN"/>
        </w:rPr>
        <w:t>）</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GB" w:eastAsia="zh-CN"/>
        </w:rPr>
        <w:t>其中，会计投资收益率</w:t>
      </w:r>
      <w:r>
        <w:rPr>
          <w:rFonts w:hint="eastAsia" w:ascii="仿宋_GB2312" w:hAnsi="仿宋_GB2312" w:eastAsia="仿宋_GB2312" w:cs="仿宋_GB2312"/>
          <w:sz w:val="32"/>
          <w:szCs w:val="32"/>
          <w:highlight w:val="none"/>
          <w:lang w:val="en-US" w:eastAsia="zh-CN"/>
        </w:rPr>
        <w:t>=会计投资收益</w:t>
      </w:r>
      <w:r>
        <w:rPr>
          <w:rFonts w:hint="eastAsia" w:ascii="Arial" w:hAnsi="Arial" w:eastAsia="仿宋_GB2312" w:cs="Arial"/>
          <w:sz w:val="32"/>
          <w:szCs w:val="32"/>
          <w:highlight w:val="none"/>
          <w:lang w:val="en-US" w:eastAsia="zh-CN"/>
        </w:rPr>
        <w:t>÷调整后的</w:t>
      </w:r>
      <w:r>
        <w:rPr>
          <w:rFonts w:hint="eastAsia" w:ascii="仿宋_GB2312" w:hAnsi="仿宋_GB2312" w:eastAsia="仿宋_GB2312" w:cs="仿宋_GB2312"/>
          <w:sz w:val="32"/>
          <w:szCs w:val="32"/>
          <w:highlight w:val="none"/>
          <w:lang w:val="en-US" w:eastAsia="zh-CN"/>
        </w:rPr>
        <w:t>资金运用平均净额；</w:t>
      </w:r>
      <w:r>
        <w:rPr>
          <w:rFonts w:hint="eastAsia" w:ascii="仿宋_GB2312" w:hAnsi="仿宋_GB2312" w:eastAsia="仿宋_GB2312" w:cs="仿宋_GB2312"/>
          <w:sz w:val="32"/>
          <w:szCs w:val="32"/>
          <w:highlight w:val="none"/>
        </w:rPr>
        <w:t>会计投资收益</w:t>
      </w:r>
      <w:r>
        <w:rPr>
          <w:rFonts w:hint="eastAsia" w:ascii="仿宋_GB2312" w:hAnsi="仿宋_GB2312" w:eastAsia="仿宋_GB2312" w:cs="仿宋_GB2312"/>
          <w:sz w:val="32"/>
          <w:szCs w:val="32"/>
          <w:highlight w:val="none"/>
          <w:lang w:val="en-US" w:eastAsia="zh-CN"/>
        </w:rPr>
        <w:t>=利息收入+投资收益+公允价值变动损益+其他投资收益-投资资产减值损失-利息支出，</w:t>
      </w:r>
      <w:r>
        <w:rPr>
          <w:rFonts w:hint="eastAsia" w:ascii="仿宋_GB2312" w:hAnsi="仿宋_GB2312" w:eastAsia="仿宋_GB2312" w:cs="仿宋_GB2312"/>
          <w:sz w:val="32"/>
          <w:szCs w:val="32"/>
          <w:highlight w:val="none"/>
        </w:rPr>
        <w:t>反映公司当期已实现的财务投资收益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调整后的资金运用净额</w:t>
      </w:r>
      <w:r>
        <w:rPr>
          <w:rFonts w:hint="eastAsia" w:ascii="仿宋_GB2312" w:hAnsi="仿宋_GB2312" w:eastAsia="仿宋_GB2312" w:cs="仿宋_GB2312"/>
          <w:sz w:val="32"/>
          <w:szCs w:val="32"/>
          <w:highlight w:val="none"/>
          <w:lang w:val="en-US" w:eastAsia="zh-CN"/>
        </w:rPr>
        <w:t>=资金运用净额-FVOCI债务工具的累计公允价值变动。</w:t>
      </w:r>
    </w:p>
    <w:p>
      <w:pPr>
        <w:keepNext w:val="0"/>
        <w:keepLines w:val="0"/>
        <w:pageBreakBefore w:val="0"/>
        <w:kinsoku/>
        <w:wordWrap/>
        <w:overflowPunct/>
        <w:topLinePunct w:val="0"/>
        <w:autoSpaceDE/>
        <w:autoSpaceDN/>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在计算普通账户利差</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时，应当在投资收益中扣除公司发行</w:t>
      </w:r>
      <w:r>
        <w:rPr>
          <w:rFonts w:hint="eastAsia" w:ascii="仿宋_GB2312" w:hAnsi="仿宋_GB2312" w:eastAsia="仿宋_GB2312" w:cs="仿宋_GB2312"/>
          <w:sz w:val="32"/>
          <w:szCs w:val="32"/>
          <w:highlight w:val="none"/>
          <w:lang w:val="en-GB"/>
        </w:rPr>
        <w:t>次级债</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rPr>
        <w:t>的利息</w:t>
      </w:r>
      <w:r>
        <w:rPr>
          <w:rFonts w:hint="eastAsia" w:ascii="仿宋_GB2312" w:hAnsi="仿宋_GB2312" w:eastAsia="仿宋_GB2312" w:cs="仿宋_GB2312"/>
          <w:sz w:val="32"/>
          <w:szCs w:val="32"/>
          <w:highlight w:val="none"/>
        </w:rPr>
        <w:t>支出。</w:t>
      </w:r>
    </w:p>
    <w:p>
      <w:pPr>
        <w:keepNext w:val="0"/>
        <w:keepLines w:val="0"/>
        <w:pageBreakBefore w:val="0"/>
        <w:widowControl/>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sz w:val="32"/>
          <w:szCs w:val="32"/>
          <w:highlight w:val="none"/>
          <w:lang w:val="en-GB" w:eastAsia="zh-CN"/>
        </w:rPr>
      </w:pPr>
      <w:r>
        <w:rPr>
          <w:rFonts w:hint="eastAsia" w:ascii="楷体_GB2312" w:hAnsi="楷体_GB2312" w:eastAsia="楷体_GB2312" w:cs="楷体_GB2312"/>
          <w:bCs w:val="0"/>
          <w:sz w:val="32"/>
          <w:szCs w:val="32"/>
          <w:highlight w:val="none"/>
          <w:lang w:val="en-GB" w:eastAsia="zh-CN"/>
        </w:rPr>
        <w:t>（四）利差</w:t>
      </w:r>
      <w:r>
        <w:rPr>
          <w:rFonts w:hint="eastAsia" w:ascii="楷体_GB2312" w:hAnsi="楷体_GB2312" w:eastAsia="楷体_GB2312" w:cs="楷体_GB2312"/>
          <w:bCs w:val="0"/>
          <w:sz w:val="32"/>
          <w:szCs w:val="32"/>
          <w:highlight w:val="none"/>
          <w:shd w:val="clear" w:fill="FFFFFF"/>
          <w:lang w:val="en-GB" w:eastAsia="zh-CN"/>
        </w:rPr>
        <w:t>四</w:t>
      </w:r>
      <w:r>
        <w:rPr>
          <w:rFonts w:hint="eastAsia" w:ascii="楷体_GB2312" w:hAnsi="楷体_GB2312" w:eastAsia="楷体_GB2312" w:cs="楷体_GB2312"/>
          <w:bCs w:val="0"/>
          <w:sz w:val="32"/>
          <w:szCs w:val="32"/>
          <w:highlight w:val="none"/>
          <w:lang w:val="en-GB" w:eastAsia="zh-CN"/>
        </w:rPr>
        <w:t>（</w:t>
      </w:r>
      <w:r>
        <w:rPr>
          <w:rFonts w:hint="eastAsia" w:ascii="楷体_GB2312" w:hAnsi="楷体_GB2312" w:eastAsia="楷体_GB2312" w:cs="楷体_GB2312"/>
          <w:sz w:val="32"/>
          <w:szCs w:val="32"/>
          <w:highlight w:val="none"/>
          <w:lang w:val="en-GB"/>
        </w:rPr>
        <w:t>新</w:t>
      </w:r>
      <w:r>
        <w:rPr>
          <w:rFonts w:hint="eastAsia" w:ascii="楷体_GB2312" w:hAnsi="楷体_GB2312" w:eastAsia="楷体_GB2312" w:cs="楷体_GB2312"/>
          <w:sz w:val="32"/>
          <w:szCs w:val="32"/>
          <w:highlight w:val="none"/>
          <w:lang w:val="en-GB" w:eastAsia="zh-CN"/>
        </w:rPr>
        <w:t>增</w:t>
      </w:r>
      <w:r>
        <w:rPr>
          <w:rFonts w:hint="eastAsia" w:ascii="楷体_GB2312" w:hAnsi="楷体_GB2312" w:eastAsia="楷体_GB2312" w:cs="楷体_GB2312"/>
          <w:sz w:val="32"/>
          <w:szCs w:val="32"/>
          <w:highlight w:val="none"/>
          <w:lang w:val="en-GB"/>
        </w:rPr>
        <w:t>固定收益类资产到期收益率与新业务负债最低要求回报率差额</w:t>
      </w:r>
      <w:r>
        <w:rPr>
          <w:rFonts w:hint="eastAsia" w:ascii="楷体_GB2312" w:hAnsi="楷体_GB2312" w:eastAsia="楷体_GB2312" w:cs="楷体_GB2312"/>
          <w:bCs w:val="0"/>
          <w:sz w:val="32"/>
          <w:szCs w:val="32"/>
          <w:highlight w:val="none"/>
          <w:lang w:val="en-GB" w:eastAsia="zh-CN"/>
        </w:rPr>
        <w:t>）</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eastAsia="zh-CN"/>
        </w:rPr>
      </w:pPr>
      <w:r>
        <w:rPr>
          <w:rFonts w:hint="eastAsia" w:ascii="仿宋_GB2312" w:hAnsi="仿宋_GB2312" w:eastAsia="仿宋_GB2312" w:cs="仿宋_GB2312"/>
          <w:sz w:val="32"/>
          <w:szCs w:val="32"/>
          <w:highlight w:val="none"/>
          <w:lang w:val="en-GB"/>
        </w:rPr>
        <w:t>衡量人身保险公司</w:t>
      </w:r>
      <w:r>
        <w:rPr>
          <w:rFonts w:hint="eastAsia" w:ascii="仿宋_GB2312" w:hAnsi="仿宋_GB2312" w:eastAsia="仿宋_GB2312" w:cs="仿宋_GB2312"/>
          <w:sz w:val="32"/>
          <w:szCs w:val="32"/>
          <w:highlight w:val="none"/>
          <w:lang w:val="en-US" w:eastAsia="zh-CN"/>
        </w:rPr>
        <w:t>当年的</w:t>
      </w:r>
      <w:r>
        <w:rPr>
          <w:rFonts w:hint="eastAsia" w:ascii="仿宋_GB2312" w:hAnsi="仿宋_GB2312" w:eastAsia="仿宋_GB2312" w:cs="仿宋_GB2312"/>
          <w:sz w:val="32"/>
          <w:szCs w:val="32"/>
          <w:highlight w:val="none"/>
          <w:lang w:val="en-GB"/>
        </w:rPr>
        <w:t>利差边际变动情况</w:t>
      </w:r>
      <w:r>
        <w:rPr>
          <w:rFonts w:hint="eastAsia" w:ascii="仿宋_GB2312" w:hAnsi="仿宋_GB2312" w:eastAsia="仿宋_GB2312" w:cs="仿宋_GB2312"/>
          <w:sz w:val="32"/>
          <w:szCs w:val="32"/>
          <w:highlight w:val="none"/>
          <w:lang w:val="en-GB" w:eastAsia="zh-CN"/>
        </w:rPr>
        <w:t>。</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eastAsia="zh-CN"/>
        </w:rPr>
        <w:t>利差</w:t>
      </w:r>
      <w:r>
        <w:rPr>
          <w:rFonts w:hint="eastAsia" w:ascii="仿宋_GB2312" w:hAnsi="仿宋_GB2312" w:eastAsia="仿宋_GB2312" w:cs="仿宋_GB2312"/>
          <w:sz w:val="32"/>
          <w:szCs w:val="32"/>
          <w:highlight w:val="none"/>
          <w:shd w:val="clear" w:fill="FFFFFF"/>
          <w:lang w:val="en-US" w:eastAsia="zh-CN"/>
        </w:rPr>
        <w:t>四</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当</w:t>
      </w:r>
      <w:r>
        <w:rPr>
          <w:rFonts w:hint="eastAsia" w:ascii="仿宋_GB2312" w:hAnsi="仿宋_GB2312" w:eastAsia="仿宋_GB2312" w:cs="仿宋_GB2312"/>
          <w:sz w:val="32"/>
          <w:szCs w:val="32"/>
          <w:highlight w:val="none"/>
        </w:rPr>
        <w:t>年新增可计算现金流的固定收益类投资资产到期收益率-</w:t>
      </w:r>
      <w:r>
        <w:rPr>
          <w:rFonts w:hint="eastAsia" w:ascii="仿宋_GB2312" w:hAnsi="仿宋_GB2312" w:eastAsia="仿宋_GB2312" w:cs="仿宋_GB2312"/>
          <w:sz w:val="32"/>
          <w:szCs w:val="32"/>
          <w:highlight w:val="none"/>
          <w:lang w:val="en-US" w:eastAsia="zh-CN"/>
        </w:rPr>
        <w:t>当</w:t>
      </w:r>
      <w:r>
        <w:rPr>
          <w:rFonts w:hint="eastAsia" w:ascii="仿宋_GB2312" w:hAnsi="仿宋_GB2312" w:eastAsia="仿宋_GB2312" w:cs="仿宋_GB2312"/>
          <w:sz w:val="32"/>
          <w:szCs w:val="32"/>
          <w:highlight w:val="none"/>
        </w:rPr>
        <w:t>年新业务负债最低要求回报率</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eastAsia="zh-CN"/>
        </w:rPr>
        <w:t>其中，</w:t>
      </w:r>
      <w:r>
        <w:rPr>
          <w:rFonts w:hint="eastAsia" w:ascii="仿宋_GB2312" w:hAnsi="仿宋_GB2312" w:eastAsia="仿宋_GB2312" w:cs="仿宋_GB2312"/>
          <w:sz w:val="32"/>
          <w:szCs w:val="32"/>
          <w:highlight w:val="none"/>
        </w:rPr>
        <w:t>固定收益类资产的到期收益率反映公司投资资产中最稳定的投资收益水平。</w:t>
      </w:r>
      <w:r>
        <w:rPr>
          <w:rFonts w:hint="eastAsia" w:ascii="仿宋_GB2312" w:hAnsi="仿宋_GB2312" w:eastAsia="仿宋_GB2312" w:cs="仿宋_GB2312"/>
          <w:sz w:val="32"/>
          <w:szCs w:val="32"/>
          <w:highlight w:val="none"/>
          <w:lang w:val="en-GB"/>
        </w:rPr>
        <w:t>可计算现金流的固定收益类投资资产到期收益率为现金流折现值等于摊余成本时的年化折现率，计算方法如下：</w:t>
      </w:r>
    </w:p>
    <w:p>
      <w:pPr>
        <w:keepNext w:val="0"/>
        <w:keepLines w:val="0"/>
        <w:pageBreakBefore w:val="0"/>
        <w:widowControl w:val="0"/>
        <w:kinsoku/>
        <w:wordWrap/>
        <w:overflowPunct/>
        <w:topLinePunct w:val="0"/>
        <w:autoSpaceDE/>
        <w:autoSpaceDN/>
        <w:bidi w:val="0"/>
        <w:adjustRightInd w:val="0"/>
        <w:snapToGrid/>
        <w:spacing w:before="0" w:beforeLines="0" w:afterLines="0" w:line="600" w:lineRule="exact"/>
        <w:ind w:left="420" w:leftChars="200" w:firstLine="640"/>
        <w:textAlignment w:val="auto"/>
        <w:rPr>
          <w:rFonts w:hint="eastAsia" w:ascii="仿宋_GB2312" w:hAnsi="仿宋_GB2312" w:eastAsia="仿宋_GB2312" w:cs="仿宋_GB2312"/>
          <w:i/>
          <w:sz w:val="32"/>
          <w:szCs w:val="32"/>
          <w:highlight w:val="none"/>
          <w:lang w:val="en-GB"/>
        </w:rPr>
      </w:pPr>
      <m:oMathPara>
        <m:oMath>
          <m:sSub>
            <m:sSubPr>
              <m:ctrlPr>
                <w:rPr>
                  <w:rFonts w:hint="eastAsia" w:ascii="DejaVu Math TeX Gyre" w:hAnsi="DejaVu Math TeX Gyre" w:eastAsia="仿宋_GB2312" w:cs="仿宋_GB2312"/>
                  <w:i/>
                  <w:sz w:val="32"/>
                  <w:szCs w:val="32"/>
                  <w:highlight w:val="none"/>
                </w:rPr>
              </m:ctrlPr>
            </m:sSubPr>
            <m:e>
              <m:r>
                <m:rPr/>
                <w:rPr>
                  <w:rFonts w:hint="eastAsia" w:ascii="DejaVu Math TeX Gyre" w:hAnsi="DejaVu Math TeX Gyre" w:eastAsia="仿宋_GB2312" w:cs="仿宋_GB2312"/>
                  <w:sz w:val="32"/>
                  <w:szCs w:val="32"/>
                  <w:highlight w:val="none"/>
                </w:rPr>
                <m:t>BV</m:t>
              </m:r>
              <m:ctrlPr>
                <w:rPr>
                  <w:rFonts w:hint="eastAsia" w:ascii="DejaVu Math TeX Gyre" w:hAnsi="DejaVu Math TeX Gyre" w:eastAsia="仿宋_GB2312" w:cs="仿宋_GB2312"/>
                  <w:i/>
                  <w:sz w:val="32"/>
                  <w:szCs w:val="32"/>
                  <w:highlight w:val="none"/>
                </w:rPr>
              </m:ctrlPr>
            </m:e>
            <m:sub>
              <m:r>
                <m:rPr/>
                <w:rPr>
                  <w:rFonts w:hint="eastAsia" w:ascii="DejaVu Math TeX Gyre" w:hAnsi="DejaVu Math TeX Gyre" w:eastAsia="仿宋_GB2312" w:cs="仿宋_GB2312"/>
                  <w:sz w:val="32"/>
                  <w:szCs w:val="32"/>
                  <w:highlight w:val="none"/>
                </w:rPr>
                <m:t>fix</m:t>
              </m:r>
              <m:ctrlPr>
                <w:rPr>
                  <w:rFonts w:hint="eastAsia" w:ascii="DejaVu Math TeX Gyre" w:hAnsi="DejaVu Math TeX Gyre" w:eastAsia="仿宋_GB2312" w:cs="仿宋_GB2312"/>
                  <w:i/>
                  <w:sz w:val="32"/>
                  <w:szCs w:val="32"/>
                  <w:highlight w:val="none"/>
                </w:rPr>
              </m:ctrlPr>
            </m:sub>
          </m:sSub>
          <m:r>
            <m:rPr/>
            <w:rPr>
              <w:rFonts w:hint="eastAsia" w:ascii="DejaVu Math TeX Gyre" w:hAnsi="DejaVu Math TeX Gyre" w:eastAsia="仿宋_GB2312" w:cs="仿宋_GB2312"/>
              <w:sz w:val="32"/>
              <w:szCs w:val="32"/>
              <w:highlight w:val="none"/>
            </w:rPr>
            <m:t>=</m:t>
          </m:r>
          <m:nary>
            <m:naryPr>
              <m:chr m:val="∑"/>
              <m:limLoc m:val="undOvr"/>
              <m:supHide m:val="1"/>
              <m:ctrlPr>
                <w:rPr>
                  <w:rFonts w:hint="eastAsia" w:ascii="DejaVu Math TeX Gyre" w:hAnsi="DejaVu Math TeX Gyre" w:eastAsia="仿宋_GB2312" w:cs="仿宋_GB2312"/>
                  <w:i/>
                  <w:sz w:val="32"/>
                  <w:szCs w:val="32"/>
                  <w:highlight w:val="none"/>
                </w:rPr>
              </m:ctrlPr>
            </m:naryPr>
            <m:sub>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b>
            <m:sup>
              <m:ctrlPr>
                <w:rPr>
                  <w:rFonts w:hint="eastAsia" w:ascii="DejaVu Math TeX Gyre" w:hAnsi="DejaVu Math TeX Gyre" w:eastAsia="仿宋_GB2312" w:cs="仿宋_GB2312"/>
                  <w:i/>
                  <w:sz w:val="32"/>
                  <w:szCs w:val="32"/>
                  <w:highlight w:val="none"/>
                </w:rPr>
              </m:ctrlPr>
            </m:sup>
            <m:e>
              <m:f>
                <m:fPr>
                  <m:ctrlPr>
                    <w:rPr>
                      <w:rFonts w:hint="eastAsia" w:ascii="DejaVu Math TeX Gyre" w:hAnsi="DejaVu Math TeX Gyre" w:eastAsia="仿宋_GB2312" w:cs="仿宋_GB2312"/>
                      <w:i/>
                      <w:sz w:val="32"/>
                      <w:szCs w:val="32"/>
                      <w:highlight w:val="none"/>
                    </w:rPr>
                  </m:ctrlPr>
                </m:fPr>
                <m:num>
                  <m:sSub>
                    <m:sSubPr>
                      <m:ctrlPr>
                        <w:rPr>
                          <w:rFonts w:hint="eastAsia" w:ascii="DejaVu Math TeX Gyre" w:hAnsi="DejaVu Math TeX Gyre" w:eastAsia="仿宋_GB2312" w:cs="仿宋_GB2312"/>
                          <w:i/>
                          <w:sz w:val="32"/>
                          <w:szCs w:val="32"/>
                          <w:highlight w:val="none"/>
                        </w:rPr>
                      </m:ctrlPr>
                    </m:sSubPr>
                    <m:e>
                      <m:r>
                        <m:rPr/>
                        <w:rPr>
                          <w:rFonts w:hint="eastAsia" w:ascii="DejaVu Math TeX Gyre" w:hAnsi="DejaVu Math TeX Gyre" w:eastAsia="仿宋_GB2312" w:cs="仿宋_GB2312"/>
                          <w:sz w:val="32"/>
                          <w:szCs w:val="32"/>
                          <w:highlight w:val="none"/>
                        </w:rPr>
                        <m:t>CF</m:t>
                      </m:r>
                      <m:ctrlPr>
                        <w:rPr>
                          <w:rFonts w:hint="eastAsia" w:ascii="DejaVu Math TeX Gyre" w:hAnsi="DejaVu Math TeX Gyre" w:eastAsia="仿宋_GB2312" w:cs="仿宋_GB2312"/>
                          <w:i/>
                          <w:sz w:val="32"/>
                          <w:szCs w:val="32"/>
                          <w:highlight w:val="none"/>
                        </w:rPr>
                      </m:ctrlPr>
                    </m:e>
                    <m:sub>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b>
                  </m:sSub>
                  <m:ctrlPr>
                    <w:rPr>
                      <w:rFonts w:hint="eastAsia" w:ascii="DejaVu Math TeX Gyre" w:hAnsi="DejaVu Math TeX Gyre" w:eastAsia="仿宋_GB2312" w:cs="仿宋_GB2312"/>
                      <w:i/>
                      <w:sz w:val="32"/>
                      <w:szCs w:val="32"/>
                      <w:highlight w:val="none"/>
                    </w:rPr>
                  </m:ctrlPr>
                </m:num>
                <m:den>
                  <m:sSup>
                    <m:sSupPr>
                      <m:ctrlPr>
                        <w:rPr>
                          <w:rFonts w:hint="eastAsia" w:ascii="DejaVu Math TeX Gyre" w:hAnsi="DejaVu Math TeX Gyre" w:eastAsia="仿宋_GB2312" w:cs="仿宋_GB2312"/>
                          <w:i/>
                          <w:sz w:val="32"/>
                          <w:szCs w:val="32"/>
                          <w:highlight w:val="none"/>
                        </w:rPr>
                      </m:ctrlPr>
                    </m:sSupPr>
                    <m:e>
                      <m:d>
                        <m:dPr>
                          <m:begChr m:val="（"/>
                          <m:endChr m:val="）"/>
                          <m:ctrlPr>
                            <w:rPr>
                              <w:rFonts w:hint="eastAsia" w:ascii="DejaVu Math TeX Gyre" w:hAnsi="DejaVu Math TeX Gyre" w:eastAsia="仿宋_GB2312" w:cs="仿宋_GB2312"/>
                              <w:sz w:val="32"/>
                              <w:szCs w:val="32"/>
                              <w:highlight w:val="none"/>
                            </w:rPr>
                          </m:ctrlPr>
                        </m:dPr>
                        <m:e>
                          <m:r>
                            <m:rPr/>
                            <w:rPr>
                              <w:rFonts w:hint="eastAsia" w:ascii="DejaVu Math TeX Gyre" w:hAnsi="DejaVu Math TeX Gyre" w:eastAsia="仿宋_GB2312" w:cs="仿宋_GB2312"/>
                              <w:sz w:val="32"/>
                              <w:szCs w:val="32"/>
                              <w:highlight w:val="none"/>
                            </w:rPr>
                            <m:t>1+YTM</m:t>
                          </m:r>
                          <m:ctrlPr>
                            <w:rPr>
                              <w:rFonts w:hint="eastAsia" w:ascii="DejaVu Math TeX Gyre" w:hAnsi="DejaVu Math TeX Gyre" w:eastAsia="仿宋_GB2312" w:cs="仿宋_GB2312"/>
                              <w:sz w:val="32"/>
                              <w:szCs w:val="32"/>
                              <w:highlight w:val="none"/>
                            </w:rPr>
                          </m:ctrlPr>
                        </m:e>
                      </m:d>
                      <m:ctrlPr>
                        <w:rPr>
                          <w:rFonts w:hint="eastAsia" w:ascii="DejaVu Math TeX Gyre" w:hAnsi="DejaVu Math TeX Gyre" w:eastAsia="仿宋_GB2312" w:cs="仿宋_GB2312"/>
                          <w:i/>
                          <w:sz w:val="32"/>
                          <w:szCs w:val="32"/>
                          <w:highlight w:val="none"/>
                        </w:rPr>
                      </m:ctrlPr>
                    </m:e>
                    <m:sup>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p>
                  </m:sSup>
                  <m:ctrlPr>
                    <w:rPr>
                      <w:rFonts w:hint="eastAsia" w:ascii="DejaVu Math TeX Gyre" w:hAnsi="DejaVu Math TeX Gyre" w:eastAsia="仿宋_GB2312" w:cs="仿宋_GB2312"/>
                      <w:i/>
                      <w:sz w:val="32"/>
                      <w:szCs w:val="32"/>
                      <w:highlight w:val="none"/>
                    </w:rPr>
                  </m:ctrlPr>
                </m:den>
              </m:f>
              <m:ctrlPr>
                <w:rPr>
                  <w:rFonts w:hint="eastAsia" w:ascii="DejaVu Math TeX Gyre" w:hAnsi="DejaVu Math TeX Gyre" w:eastAsia="仿宋_GB2312" w:cs="仿宋_GB2312"/>
                  <w:i/>
                  <w:sz w:val="32"/>
                  <w:szCs w:val="32"/>
                  <w:highlight w:val="none"/>
                </w:rPr>
              </m:ctrlPr>
            </m:e>
          </m:nary>
        </m:oMath>
      </m:oMathPara>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BV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fix</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w:t>
      </w:r>
      <w:r>
        <w:rPr>
          <w:rFonts w:hint="eastAsia" w:ascii="仿宋_GB2312" w:hAnsi="仿宋_GB2312" w:eastAsia="仿宋_GB2312" w:cs="仿宋_GB2312"/>
          <w:sz w:val="32"/>
          <w:szCs w:val="32"/>
          <w:highlight w:val="none"/>
          <w:lang w:val="en-US" w:eastAsia="zh-CN"/>
        </w:rPr>
        <w:t>当</w:t>
      </w:r>
      <w:r>
        <w:rPr>
          <w:rFonts w:hint="eastAsia" w:ascii="仿宋_GB2312" w:hAnsi="仿宋_GB2312" w:eastAsia="仿宋_GB2312" w:cs="仿宋_GB2312"/>
          <w:sz w:val="32"/>
          <w:szCs w:val="32"/>
          <w:highlight w:val="none"/>
          <w:lang w:val="en-GB" w:eastAsia="zh-CN"/>
        </w:rPr>
        <w:t>年</w:t>
      </w:r>
      <w:r>
        <w:rPr>
          <w:rFonts w:hint="eastAsia" w:ascii="仿宋_GB2312" w:hAnsi="仿宋_GB2312" w:eastAsia="仿宋_GB2312" w:cs="仿宋_GB2312"/>
          <w:sz w:val="32"/>
          <w:szCs w:val="32"/>
          <w:highlight w:val="none"/>
          <w:lang w:val="en-GB"/>
        </w:rPr>
        <w:t>新增的可计算现金流的固定收益类投资资产的摊余成本；对于</w:t>
      </w:r>
      <w:r>
        <w:rPr>
          <w:rFonts w:hint="default" w:ascii="仿宋_GB2312" w:hAnsi="仿宋_GB2312" w:eastAsia="仿宋_GB2312" w:cs="仿宋_GB2312"/>
          <w:sz w:val="32"/>
          <w:szCs w:val="32"/>
          <w:highlight w:val="none"/>
          <w:lang w:val="en-US"/>
        </w:rPr>
        <w:t>分类为</w:t>
      </w:r>
      <w:r>
        <w:rPr>
          <w:rFonts w:hint="eastAsia" w:ascii="仿宋_GB2312" w:hAnsi="仿宋_GB2312" w:eastAsia="仿宋_GB2312" w:cs="仿宋_GB2312"/>
          <w:sz w:val="32"/>
          <w:szCs w:val="32"/>
          <w:highlight w:val="none"/>
          <w:lang w:val="en-US" w:eastAsia="zh-CN"/>
        </w:rPr>
        <w:t>FVTPL</w:t>
      </w:r>
      <w:r>
        <w:rPr>
          <w:rFonts w:hint="eastAsia" w:ascii="仿宋_GB2312" w:hAnsi="仿宋_GB2312" w:eastAsia="仿宋_GB2312" w:cs="仿宋_GB2312"/>
          <w:sz w:val="32"/>
          <w:szCs w:val="32"/>
          <w:highlight w:val="none"/>
          <w:lang w:val="en-GB"/>
        </w:rPr>
        <w:t>固定收益类投资资产，可以采用账面价值；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CF</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w:t>
      </w:r>
      <w:r>
        <w:rPr>
          <w:rFonts w:hint="eastAsia" w:ascii="仿宋_GB2312" w:hAnsi="仿宋_GB2312" w:eastAsia="仿宋_GB2312" w:cs="仿宋_GB2312"/>
          <w:sz w:val="32"/>
          <w:szCs w:val="32"/>
          <w:highlight w:val="none"/>
          <w:lang w:val="en-US" w:eastAsia="zh-CN"/>
        </w:rPr>
        <w:t>当</w:t>
      </w:r>
      <w:r>
        <w:rPr>
          <w:rFonts w:hint="eastAsia" w:ascii="仿宋_GB2312" w:hAnsi="仿宋_GB2312" w:eastAsia="仿宋_GB2312" w:cs="仿宋_GB2312"/>
          <w:sz w:val="32"/>
          <w:szCs w:val="32"/>
          <w:highlight w:val="none"/>
          <w:lang w:val="en-GB" w:eastAsia="zh-CN"/>
        </w:rPr>
        <w:t>年</w:t>
      </w:r>
      <w:r>
        <w:rPr>
          <w:rFonts w:hint="eastAsia" w:ascii="仿宋_GB2312" w:hAnsi="仿宋_GB2312" w:eastAsia="仿宋_GB2312" w:cs="仿宋_GB2312"/>
          <w:sz w:val="32"/>
          <w:szCs w:val="32"/>
          <w:highlight w:val="none"/>
          <w:lang w:val="en-GB"/>
        </w:rPr>
        <w:t>新增的可计算现金流的固定收益类投资资产在未来</w:t>
      </w:r>
      <m:oMath>
        <m:r>
          <m:rPr>
            <m:sty m:val="p"/>
          </m:rPr>
          <w:rPr>
            <w:rFonts w:hint="eastAsia" w:ascii="Cambria Math" w:hAnsi="Cambria Math" w:eastAsia="仿宋_GB2312" w:cs="仿宋_GB2312"/>
            <w:sz w:val="32"/>
            <w:szCs w:val="32"/>
            <w:highlight w:val="none"/>
          </w:rPr>
          <m:t>t</m:t>
        </m:r>
      </m:oMath>
      <w:r>
        <w:rPr>
          <w:rFonts w:hint="eastAsia" w:ascii="仿宋_GB2312" w:hAnsi="仿宋_GB2312" w:eastAsia="仿宋_GB2312" w:cs="仿宋_GB2312"/>
          <w:sz w:val="32"/>
          <w:szCs w:val="32"/>
          <w:highlight w:val="none"/>
          <w:lang w:val="en-GB"/>
        </w:rPr>
        <w:t>时刻的票息和到期现金流；</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YTM</m:t>
        </m:r>
      </m:oMath>
      <w:r>
        <w:rPr>
          <w:rFonts w:hint="eastAsia" w:ascii="仿宋_GB2312" w:hAnsi="仿宋_GB2312" w:eastAsia="仿宋_GB2312" w:cs="仿宋_GB2312"/>
          <w:sz w:val="32"/>
          <w:szCs w:val="32"/>
          <w:highlight w:val="none"/>
          <w:lang w:val="en-GB"/>
        </w:rPr>
        <w:t>为</w:t>
      </w:r>
      <w:r>
        <w:rPr>
          <w:rFonts w:hint="eastAsia" w:ascii="仿宋_GB2312" w:hAnsi="仿宋_GB2312" w:eastAsia="仿宋_GB2312" w:cs="仿宋_GB2312"/>
          <w:sz w:val="32"/>
          <w:szCs w:val="32"/>
          <w:highlight w:val="none"/>
          <w:lang w:val="en-US" w:eastAsia="zh-CN"/>
        </w:rPr>
        <w:t>当</w:t>
      </w:r>
      <w:r>
        <w:rPr>
          <w:rFonts w:hint="eastAsia" w:ascii="仿宋_GB2312" w:hAnsi="仿宋_GB2312" w:eastAsia="仿宋_GB2312" w:cs="仿宋_GB2312"/>
          <w:sz w:val="32"/>
          <w:szCs w:val="32"/>
          <w:highlight w:val="none"/>
          <w:lang w:val="en-GB" w:eastAsia="zh-CN"/>
        </w:rPr>
        <w:t>年</w:t>
      </w:r>
      <w:r>
        <w:rPr>
          <w:rFonts w:hint="eastAsia" w:ascii="仿宋_GB2312" w:hAnsi="仿宋_GB2312" w:eastAsia="仿宋_GB2312" w:cs="仿宋_GB2312"/>
          <w:sz w:val="32"/>
          <w:szCs w:val="32"/>
          <w:highlight w:val="none"/>
          <w:lang w:val="en-GB"/>
        </w:rPr>
        <w:t>新增的可计算现金流的固定收益类投资资产的到期收益率。</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新业务负债最低要求回报率</w:t>
      </w:r>
      <w:r>
        <w:rPr>
          <w:rFonts w:hint="eastAsia" w:ascii="仿宋_GB2312" w:hAnsi="仿宋_GB2312" w:eastAsia="仿宋_GB2312" w:cs="仿宋_GB2312"/>
          <w:sz w:val="32"/>
          <w:szCs w:val="32"/>
          <w:highlight w:val="none"/>
          <w:lang w:eastAsia="zh-CN"/>
        </w:rPr>
        <w:t>，是指满足公司新业务（包括寿险业务和非寿险业务）期初现金流现值为零时的最低投资收益要求。</w:t>
      </w:r>
      <w:r>
        <w:rPr>
          <w:rFonts w:hint="eastAsia" w:ascii="仿宋_GB2312" w:hAnsi="仿宋_GB2312" w:eastAsia="仿宋_GB2312" w:cs="仿宋_GB2312"/>
          <w:sz w:val="32"/>
          <w:szCs w:val="32"/>
          <w:highlight w:val="none"/>
          <w:lang w:val="en-GB"/>
        </w:rPr>
        <w:t>计算方法如下：</w:t>
      </w:r>
    </w:p>
    <w:p>
      <w:pPr>
        <w:keepNext w:val="0"/>
        <w:keepLines w:val="0"/>
        <w:pageBreakBefore w:val="0"/>
        <w:widowControl w:val="0"/>
        <w:kinsoku/>
        <w:wordWrap/>
        <w:overflowPunct/>
        <w:topLinePunct w:val="0"/>
        <w:autoSpaceDE/>
        <w:autoSpaceDN/>
        <w:bidi w:val="0"/>
        <w:adjustRightInd w:val="0"/>
        <w:snapToGrid/>
        <w:spacing w:before="0" w:beforeLines="0" w:afterLines="0" w:line="600" w:lineRule="exact"/>
        <w:ind w:left="420" w:leftChars="200" w:firstLine="640"/>
        <w:textAlignment w:val="auto"/>
        <w:rPr>
          <w:rFonts w:hint="eastAsia" w:ascii="仿宋_GB2312" w:hAnsi="仿宋_GB2312" w:eastAsia="仿宋_GB2312" w:cs="仿宋_GB2312"/>
          <w:i/>
          <w:sz w:val="32"/>
          <w:szCs w:val="32"/>
          <w:highlight w:val="none"/>
          <w:lang w:val="en-GB"/>
        </w:rPr>
      </w:pPr>
      <m:oMathPara>
        <m:oMath>
          <m:r>
            <m:rPr/>
            <w:rPr>
              <w:rFonts w:hint="eastAsia" w:ascii="DejaVu Math TeX Gyre" w:hAnsi="DejaVu Math TeX Gyre" w:eastAsia="仿宋_GB2312" w:cs="仿宋_GB2312"/>
              <w:sz w:val="32"/>
              <w:szCs w:val="32"/>
              <w:highlight w:val="none"/>
            </w:rPr>
            <m:t>0=</m:t>
          </m:r>
          <m:nary>
            <m:naryPr>
              <m:chr m:val="∑"/>
              <m:limLoc m:val="undOvr"/>
              <m:supHide m:val="1"/>
              <m:ctrlPr>
                <w:rPr>
                  <w:rFonts w:hint="eastAsia" w:ascii="DejaVu Math TeX Gyre" w:hAnsi="DejaVu Math TeX Gyre" w:eastAsia="仿宋_GB2312" w:cs="仿宋_GB2312"/>
                  <w:i/>
                  <w:sz w:val="32"/>
                  <w:szCs w:val="32"/>
                  <w:highlight w:val="none"/>
                </w:rPr>
              </m:ctrlPr>
            </m:naryPr>
            <m:sub>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b>
            <m:sup>
              <m:ctrlPr>
                <w:rPr>
                  <w:rFonts w:hint="eastAsia" w:ascii="DejaVu Math TeX Gyre" w:hAnsi="DejaVu Math TeX Gyre" w:eastAsia="仿宋_GB2312" w:cs="仿宋_GB2312"/>
                  <w:i/>
                  <w:sz w:val="32"/>
                  <w:szCs w:val="32"/>
                  <w:highlight w:val="none"/>
                </w:rPr>
              </m:ctrlPr>
            </m:sup>
            <m:e>
              <m:f>
                <m:fPr>
                  <m:ctrlPr>
                    <w:rPr>
                      <w:rFonts w:hint="eastAsia" w:ascii="DejaVu Math TeX Gyre" w:hAnsi="DejaVu Math TeX Gyre" w:eastAsia="仿宋_GB2312" w:cs="仿宋_GB2312"/>
                      <w:i/>
                      <w:sz w:val="32"/>
                      <w:szCs w:val="32"/>
                      <w:highlight w:val="none"/>
                    </w:rPr>
                  </m:ctrlPr>
                </m:fPr>
                <m:num>
                  <m:sSub>
                    <m:sSubPr>
                      <m:ctrlPr>
                        <w:rPr>
                          <w:rFonts w:hint="eastAsia" w:ascii="DejaVu Math TeX Gyre" w:hAnsi="DejaVu Math TeX Gyre" w:eastAsia="仿宋_GB2312" w:cs="仿宋_GB2312"/>
                          <w:i/>
                          <w:sz w:val="32"/>
                          <w:szCs w:val="32"/>
                          <w:highlight w:val="none"/>
                        </w:rPr>
                      </m:ctrlPr>
                    </m:sSubPr>
                    <m:e>
                      <m:r>
                        <m:rPr/>
                        <w:rPr>
                          <w:rFonts w:hint="eastAsia" w:ascii="DejaVu Math TeX Gyre" w:hAnsi="DejaVu Math TeX Gyre" w:eastAsia="仿宋_GB2312" w:cs="仿宋_GB2312"/>
                          <w:sz w:val="32"/>
                          <w:szCs w:val="32"/>
                          <w:highlight w:val="none"/>
                        </w:rPr>
                        <m:t>CF</m:t>
                      </m:r>
                      <m:ctrlPr>
                        <w:rPr>
                          <w:rFonts w:hint="eastAsia" w:ascii="DejaVu Math TeX Gyre" w:hAnsi="DejaVu Math TeX Gyre" w:eastAsia="仿宋_GB2312" w:cs="仿宋_GB2312"/>
                          <w:i/>
                          <w:sz w:val="32"/>
                          <w:szCs w:val="32"/>
                          <w:highlight w:val="none"/>
                        </w:rPr>
                      </m:ctrlPr>
                    </m:e>
                    <m:sub>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b>
                  </m:sSub>
                  <m:ctrlPr>
                    <w:rPr>
                      <w:rFonts w:hint="eastAsia" w:ascii="DejaVu Math TeX Gyre" w:hAnsi="DejaVu Math TeX Gyre" w:eastAsia="仿宋_GB2312" w:cs="仿宋_GB2312"/>
                      <w:i/>
                      <w:sz w:val="32"/>
                      <w:szCs w:val="32"/>
                      <w:highlight w:val="none"/>
                    </w:rPr>
                  </m:ctrlPr>
                </m:num>
                <m:den>
                  <m:sSup>
                    <m:sSupPr>
                      <m:ctrlPr>
                        <w:rPr>
                          <w:rFonts w:hint="eastAsia" w:ascii="DejaVu Math TeX Gyre" w:hAnsi="DejaVu Math TeX Gyre" w:eastAsia="仿宋_GB2312" w:cs="仿宋_GB2312"/>
                          <w:i/>
                          <w:sz w:val="32"/>
                          <w:szCs w:val="32"/>
                          <w:highlight w:val="none"/>
                        </w:rPr>
                      </m:ctrlPr>
                    </m:sSupPr>
                    <m:e>
                      <m:d>
                        <m:dPr>
                          <m:begChr m:val="（"/>
                          <m:endChr m:val="）"/>
                          <m:ctrlPr>
                            <w:rPr>
                              <w:rFonts w:hint="eastAsia" w:ascii="DejaVu Math TeX Gyre" w:hAnsi="DejaVu Math TeX Gyre" w:eastAsia="仿宋_GB2312" w:cs="仿宋_GB2312"/>
                              <w:sz w:val="32"/>
                              <w:szCs w:val="32"/>
                              <w:highlight w:val="none"/>
                            </w:rPr>
                          </m:ctrlPr>
                        </m:dPr>
                        <m:e>
                          <m:r>
                            <m:rPr/>
                            <w:rPr>
                              <w:rFonts w:hint="eastAsia" w:ascii="DejaVu Math TeX Gyre" w:hAnsi="DejaVu Math TeX Gyre" w:eastAsia="仿宋_GB2312" w:cs="仿宋_GB2312"/>
                              <w:sz w:val="32"/>
                              <w:szCs w:val="32"/>
                              <w:highlight w:val="none"/>
                            </w:rPr>
                            <m:t>1+MRIR</m:t>
                          </m:r>
                          <m:ctrlPr>
                            <w:rPr>
                              <w:rFonts w:hint="eastAsia" w:ascii="DejaVu Math TeX Gyre" w:hAnsi="DejaVu Math TeX Gyre" w:eastAsia="仿宋_GB2312" w:cs="仿宋_GB2312"/>
                              <w:sz w:val="32"/>
                              <w:szCs w:val="32"/>
                              <w:highlight w:val="none"/>
                            </w:rPr>
                          </m:ctrlPr>
                        </m:e>
                      </m:d>
                      <m:ctrlPr>
                        <w:rPr>
                          <w:rFonts w:hint="eastAsia" w:ascii="DejaVu Math TeX Gyre" w:hAnsi="DejaVu Math TeX Gyre" w:eastAsia="仿宋_GB2312" w:cs="仿宋_GB2312"/>
                          <w:i/>
                          <w:sz w:val="32"/>
                          <w:szCs w:val="32"/>
                          <w:highlight w:val="none"/>
                        </w:rPr>
                      </m:ctrlPr>
                    </m:e>
                    <m:sup>
                      <m:r>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i/>
                          <w:sz w:val="32"/>
                          <w:szCs w:val="32"/>
                          <w:highlight w:val="none"/>
                        </w:rPr>
                      </m:ctrlPr>
                    </m:sup>
                  </m:sSup>
                  <m:ctrlPr>
                    <w:rPr>
                      <w:rFonts w:hint="eastAsia" w:ascii="DejaVu Math TeX Gyre" w:hAnsi="DejaVu Math TeX Gyre" w:eastAsia="仿宋_GB2312" w:cs="仿宋_GB2312"/>
                      <w:i/>
                      <w:sz w:val="32"/>
                      <w:szCs w:val="32"/>
                      <w:highlight w:val="none"/>
                    </w:rPr>
                  </m:ctrlPr>
                </m:den>
              </m:f>
              <m:ctrlPr>
                <w:rPr>
                  <w:rFonts w:hint="eastAsia" w:ascii="DejaVu Math TeX Gyre" w:hAnsi="DejaVu Math TeX Gyre" w:eastAsia="仿宋_GB2312" w:cs="仿宋_GB2312"/>
                  <w:i/>
                  <w:sz w:val="32"/>
                  <w:szCs w:val="32"/>
                  <w:highlight w:val="none"/>
                </w:rPr>
              </m:ctrlPr>
            </m:e>
          </m:nary>
        </m:oMath>
      </m:oMathPara>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CF</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t</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为新业务在t时刻</w:t>
      </w:r>
      <w:r>
        <w:rPr>
          <w:rFonts w:hint="eastAsia" w:ascii="仿宋" w:hAnsi="仿宋" w:eastAsia="仿宋_GB2312" w:cs="Arial"/>
          <w:sz w:val="32"/>
          <w:szCs w:val="32"/>
          <w:highlight w:val="none"/>
          <w:lang w:val="en-US" w:eastAsia="zh-CN"/>
        </w:rPr>
        <w:t>分保后（财务再保险除外）的</w:t>
      </w:r>
      <w:r>
        <w:rPr>
          <w:rFonts w:hint="eastAsia" w:ascii="仿宋_GB2312" w:hAnsi="仿宋_GB2312" w:eastAsia="仿宋_GB2312" w:cs="仿宋_GB2312"/>
          <w:sz w:val="32"/>
          <w:szCs w:val="32"/>
          <w:highlight w:val="none"/>
          <w:lang w:val="en-GB"/>
        </w:rPr>
        <w:t>净现金流，包括</w:t>
      </w:r>
      <w:r>
        <w:rPr>
          <w:rFonts w:hint="eastAsia" w:ascii="仿宋_GB2312" w:hAnsi="仿宋_GB2312" w:eastAsia="仿宋_GB2312" w:cs="仿宋_GB2312"/>
          <w:sz w:val="32"/>
          <w:szCs w:val="32"/>
          <w:highlight w:val="none"/>
          <w:lang w:val="en-GB" w:eastAsia="zh-CN"/>
        </w:rPr>
        <w:t>自留保费</w:t>
      </w:r>
      <w:r>
        <w:rPr>
          <w:rFonts w:hint="eastAsia" w:ascii="仿宋_GB2312" w:hAnsi="仿宋_GB2312" w:eastAsia="仿宋_GB2312" w:cs="仿宋_GB2312"/>
          <w:sz w:val="32"/>
          <w:szCs w:val="32"/>
          <w:highlight w:val="none"/>
          <w:lang w:val="en-GB"/>
        </w:rPr>
        <w:t>和最优估计假设下除非保证利益以外的全部支出，如费用、佣金、退保、赔付等。</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MRIR</m:t>
        </m:r>
      </m:oMath>
      <w:r>
        <w:rPr>
          <w:rFonts w:hint="eastAsia" w:ascii="仿宋_GB2312" w:hAnsi="仿宋_GB2312" w:eastAsia="仿宋_GB2312" w:cs="仿宋_GB2312"/>
          <w:sz w:val="32"/>
          <w:szCs w:val="32"/>
          <w:highlight w:val="none"/>
          <w:lang w:val="en-GB"/>
        </w:rPr>
        <w:t>为新业务最低要求回报率。</w:t>
      </w:r>
    </w:p>
    <w:p>
      <w:pPr>
        <w:keepNext w:val="0"/>
        <w:keepLines w:val="0"/>
        <w:pageBreakBefore w:val="0"/>
        <w:widowControl/>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 w:val="0"/>
          <w:bCs w:val="0"/>
          <w:i w:val="0"/>
          <w:sz w:val="32"/>
          <w:szCs w:val="32"/>
          <w:highlight w:val="none"/>
          <w:lang w:val="en-GB" w:eastAsia="zh-CN"/>
        </w:rPr>
      </w:pPr>
      <w:r>
        <w:rPr>
          <w:rFonts w:hint="eastAsia" w:ascii="楷体_GB2312" w:hAnsi="楷体_GB2312" w:eastAsia="楷体_GB2312" w:cs="楷体_GB2312"/>
          <w:b w:val="0"/>
          <w:bCs w:val="0"/>
          <w:i w:val="0"/>
          <w:sz w:val="32"/>
          <w:szCs w:val="32"/>
          <w:highlight w:val="none"/>
          <w:lang w:val="en-GB" w:eastAsia="zh-CN"/>
        </w:rPr>
        <w:t>（五）</w:t>
      </w:r>
      <w:r>
        <w:rPr>
          <w:rFonts w:hint="eastAsia" w:ascii="楷体_GB2312" w:hAnsi="楷体_GB2312" w:eastAsia="楷体_GB2312" w:cs="楷体_GB2312"/>
          <w:b w:val="0"/>
          <w:bCs w:val="0"/>
          <w:sz w:val="32"/>
          <w:szCs w:val="32"/>
          <w:highlight w:val="none"/>
          <w:lang w:val="en-GB"/>
        </w:rPr>
        <w:t>宏观经济压力情景下</w:t>
      </w:r>
      <w:r>
        <w:rPr>
          <w:rFonts w:hint="eastAsia" w:ascii="楷体_GB2312" w:hAnsi="楷体_GB2312" w:eastAsia="楷体_GB2312" w:cs="楷体_GB2312"/>
          <w:b w:val="0"/>
          <w:bCs w:val="0"/>
          <w:sz w:val="32"/>
          <w:szCs w:val="32"/>
          <w:highlight w:val="none"/>
          <w:lang w:val="en-GB" w:eastAsia="zh-CN"/>
        </w:rPr>
        <w:t>会计投资收益率与负债保证成本率差额</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保险公司在宏观经济形势恶化情景下，整体</w:t>
      </w:r>
      <w:r>
        <w:rPr>
          <w:rFonts w:hint="eastAsia" w:ascii="仿宋_GB2312" w:hAnsi="仿宋_GB2312" w:eastAsia="仿宋_GB2312" w:cs="仿宋_GB2312"/>
          <w:sz w:val="32"/>
          <w:szCs w:val="32"/>
          <w:highlight w:val="none"/>
          <w:lang w:val="en-US" w:eastAsia="zh-CN"/>
        </w:rPr>
        <w:t>会计投资收益水平</w:t>
      </w:r>
      <w:r>
        <w:rPr>
          <w:rFonts w:hint="eastAsia" w:ascii="仿宋_GB2312" w:hAnsi="仿宋_GB2312" w:eastAsia="仿宋_GB2312" w:cs="仿宋_GB2312"/>
          <w:sz w:val="32"/>
          <w:szCs w:val="32"/>
          <w:highlight w:val="none"/>
        </w:rPr>
        <w:t>能否覆盖公司</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客户的保证利益</w:t>
      </w:r>
      <w:r>
        <w:rPr>
          <w:rFonts w:hint="eastAsia" w:ascii="仿宋_GB2312" w:hAnsi="仿宋_GB2312" w:eastAsia="仿宋_GB2312" w:cs="仿宋_GB2312"/>
          <w:sz w:val="32"/>
          <w:szCs w:val="32"/>
          <w:highlight w:val="none"/>
        </w:rPr>
        <w:t>。规模调整用于调节资产规模与负债规模的不匹配。</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宏观经济压力情景下</w:t>
      </w:r>
      <w:r>
        <w:rPr>
          <w:rFonts w:hint="eastAsia" w:ascii="仿宋_GB2312" w:hAnsi="仿宋_GB2312" w:eastAsia="仿宋_GB2312" w:cs="仿宋_GB2312"/>
          <w:bCs/>
          <w:sz w:val="32"/>
          <w:szCs w:val="32"/>
          <w:highlight w:val="none"/>
          <w:lang w:val="en-GB" w:eastAsia="zh-CN"/>
        </w:rPr>
        <w:t>会计投资收益率与负债</w:t>
      </w:r>
      <w:r>
        <w:rPr>
          <w:rFonts w:hint="eastAsia" w:ascii="仿宋_GB2312" w:hAnsi="仿宋_GB2312" w:eastAsia="仿宋_GB2312" w:cs="仿宋_GB2312"/>
          <w:bCs/>
          <w:sz w:val="32"/>
          <w:szCs w:val="32"/>
          <w:highlight w:val="none"/>
          <w:lang w:val="en-US" w:eastAsia="zh-CN"/>
        </w:rPr>
        <w:t>保证</w:t>
      </w:r>
      <w:r>
        <w:rPr>
          <w:rFonts w:hint="eastAsia" w:ascii="仿宋_GB2312" w:hAnsi="仿宋_GB2312" w:eastAsia="仿宋_GB2312" w:cs="仿宋_GB2312"/>
          <w:bCs/>
          <w:sz w:val="32"/>
          <w:szCs w:val="32"/>
          <w:highlight w:val="none"/>
          <w:lang w:val="en-GB" w:eastAsia="zh-CN"/>
        </w:rPr>
        <w:t>成本率差额</w:t>
      </w:r>
      <w:r>
        <w:rPr>
          <w:rFonts w:hint="eastAsia" w:ascii="仿宋_GB2312" w:hAnsi="仿宋_GB2312" w:eastAsia="仿宋_GB2312" w:cs="仿宋_GB2312"/>
          <w:sz w:val="32"/>
          <w:szCs w:val="32"/>
          <w:highlight w:val="none"/>
        </w:rPr>
        <w:t>=宏观压力情景下</w:t>
      </w:r>
      <w:r>
        <w:rPr>
          <w:rFonts w:hint="eastAsia" w:ascii="仿宋_GB2312" w:hAnsi="仿宋_GB2312" w:eastAsia="仿宋_GB2312" w:cs="仿宋_GB2312"/>
          <w:sz w:val="32"/>
          <w:szCs w:val="32"/>
          <w:highlight w:val="none"/>
          <w:lang w:val="en-US" w:eastAsia="zh-CN"/>
        </w:rPr>
        <w:t>会计</w:t>
      </w:r>
      <w:r>
        <w:rPr>
          <w:rFonts w:hint="eastAsia" w:ascii="仿宋_GB2312" w:hAnsi="仿宋_GB2312" w:eastAsia="仿宋_GB2312" w:cs="仿宋_GB2312"/>
          <w:sz w:val="32"/>
          <w:szCs w:val="32"/>
          <w:highlight w:val="none"/>
        </w:rPr>
        <w:t>投资收益率</w:t>
      </w:r>
      <w:r>
        <w:rPr>
          <w:rFonts w:hint="eastAsia" w:ascii="仿宋_GB2312" w:hAnsi="仿宋_GB2312" w:eastAsia="仿宋_GB2312" w:cs="仿宋_GB2312"/>
          <w:sz w:val="32"/>
          <w:szCs w:val="32"/>
          <w:highlight w:val="none"/>
          <w:lang w:val="en-US" w:eastAsia="zh-CN"/>
        </w:rPr>
        <w:t>-投资资产损失率-</w:t>
      </w:r>
      <w:r>
        <w:rPr>
          <w:rFonts w:hint="eastAsia" w:ascii="仿宋_GB2312" w:hAnsi="仿宋_GB2312" w:eastAsia="仿宋_GB2312" w:cs="仿宋_GB2312"/>
          <w:sz w:val="32"/>
          <w:szCs w:val="32"/>
          <w:highlight w:val="none"/>
        </w:rPr>
        <w:t>负债</w:t>
      </w:r>
      <w:r>
        <w:rPr>
          <w:rFonts w:hint="eastAsia" w:ascii="仿宋_GB2312" w:hAnsi="仿宋_GB2312" w:eastAsia="仿宋_GB2312" w:cs="仿宋_GB2312"/>
          <w:sz w:val="32"/>
          <w:szCs w:val="32"/>
          <w:highlight w:val="none"/>
          <w:lang w:val="en-US" w:eastAsia="zh-CN"/>
        </w:rPr>
        <w:t>保证</w:t>
      </w:r>
      <w:r>
        <w:rPr>
          <w:rFonts w:hint="eastAsia" w:ascii="仿宋_GB2312" w:hAnsi="仿宋_GB2312" w:eastAsia="仿宋_GB2312" w:cs="仿宋_GB2312"/>
          <w:sz w:val="32"/>
          <w:szCs w:val="32"/>
          <w:highlight w:val="none"/>
        </w:rPr>
        <w:t>成本率</w:t>
      </w:r>
      <w:r>
        <w:rPr>
          <w:rFonts w:hint="eastAsia" w:ascii="仿宋_GB2312" w:hAnsi="仿宋_GB2312" w:eastAsia="仿宋_GB2312" w:cs="仿宋_GB2312"/>
          <w:sz w:val="32"/>
          <w:szCs w:val="32"/>
          <w:highlight w:val="none"/>
          <w:lang w:val="en-US" w:eastAsia="zh-CN"/>
        </w:rPr>
        <w:t>×（负债平均规模÷调整后的资金运用平均净额）</w:t>
      </w:r>
    </w:p>
    <w:p>
      <w:pPr>
        <w:keepNext w:val="0"/>
        <w:keepLines w:val="0"/>
        <w:pageBreakBefore w:val="0"/>
        <w:kinsoku/>
        <w:wordWrap/>
        <w:overflowPunct/>
        <w:topLinePunct w:val="0"/>
        <w:autoSpaceDE/>
        <w:autoSpaceDN/>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在计算普通账户</w:t>
      </w:r>
      <w:r>
        <w:rPr>
          <w:rFonts w:hint="eastAsia" w:ascii="仿宋_GB2312" w:hAnsi="仿宋_GB2312" w:eastAsia="仿宋_GB2312" w:cs="仿宋_GB2312"/>
          <w:bCs/>
          <w:sz w:val="32"/>
          <w:szCs w:val="32"/>
          <w:highlight w:val="none"/>
          <w:lang w:val="en-GB" w:eastAsia="zh-CN"/>
        </w:rPr>
        <w:t>利差</w:t>
      </w:r>
      <w:r>
        <w:rPr>
          <w:rFonts w:hint="eastAsia" w:ascii="仿宋_GB2312" w:hAnsi="仿宋_GB2312" w:eastAsia="仿宋_GB2312" w:cs="仿宋_GB2312"/>
          <w:sz w:val="32"/>
          <w:szCs w:val="32"/>
          <w:highlight w:val="none"/>
        </w:rPr>
        <w:t>时，应当在投资收益中扣除公司发行</w:t>
      </w:r>
      <w:r>
        <w:rPr>
          <w:rFonts w:hint="eastAsia" w:ascii="仿宋_GB2312" w:hAnsi="仿宋_GB2312" w:eastAsia="仿宋_GB2312" w:cs="仿宋_GB2312"/>
          <w:sz w:val="32"/>
          <w:szCs w:val="32"/>
          <w:highlight w:val="none"/>
          <w:lang w:val="en-GB"/>
        </w:rPr>
        <w:t>次级债</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rPr>
        <w:t>的利息</w:t>
      </w:r>
      <w:r>
        <w:rPr>
          <w:rFonts w:hint="eastAsia" w:ascii="仿宋_GB2312" w:hAnsi="仿宋_GB2312" w:eastAsia="仿宋_GB2312" w:cs="仿宋_GB2312"/>
          <w:sz w:val="32"/>
          <w:szCs w:val="32"/>
          <w:highlight w:val="none"/>
        </w:rPr>
        <w:t>支出。</w:t>
      </w:r>
    </w:p>
    <w:p>
      <w:pPr>
        <w:keepNext w:val="0"/>
        <w:keepLines w:val="0"/>
        <w:pageBreakBefore w:val="0"/>
        <w:widowControl/>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 w:val="0"/>
          <w:bCs w:val="0"/>
          <w:i w:val="0"/>
          <w:sz w:val="32"/>
          <w:szCs w:val="32"/>
          <w:highlight w:val="none"/>
          <w:lang w:val="en-GB" w:eastAsia="zh-CN"/>
        </w:rPr>
      </w:pPr>
      <w:r>
        <w:rPr>
          <w:rFonts w:hint="eastAsia" w:ascii="楷体_GB2312" w:hAnsi="楷体_GB2312" w:eastAsia="楷体_GB2312" w:cs="楷体_GB2312"/>
          <w:b w:val="0"/>
          <w:bCs w:val="0"/>
          <w:i w:val="0"/>
          <w:sz w:val="32"/>
          <w:szCs w:val="32"/>
          <w:highlight w:val="none"/>
          <w:lang w:val="en-GB" w:eastAsia="zh-CN"/>
        </w:rPr>
        <w:t>（六）</w:t>
      </w:r>
      <w:r>
        <w:rPr>
          <w:rFonts w:hint="eastAsia" w:ascii="楷体_GB2312" w:hAnsi="楷体_GB2312" w:eastAsia="楷体_GB2312" w:cs="楷体_GB2312"/>
          <w:b w:val="0"/>
          <w:bCs w:val="0"/>
          <w:kern w:val="2"/>
          <w:sz w:val="32"/>
          <w:szCs w:val="32"/>
          <w:highlight w:val="none"/>
          <w:lang w:val="en-GB" w:bidi="ar"/>
        </w:rPr>
        <w:t>利率上行压力情景下</w:t>
      </w:r>
      <w:r>
        <w:rPr>
          <w:rFonts w:hint="eastAsia" w:ascii="楷体_GB2312" w:hAnsi="楷体_GB2312" w:eastAsia="楷体_GB2312" w:cs="楷体_GB2312"/>
          <w:b w:val="0"/>
          <w:bCs w:val="0"/>
          <w:sz w:val="32"/>
          <w:szCs w:val="32"/>
          <w:highlight w:val="none"/>
          <w:lang w:val="en-GB" w:eastAsia="zh-CN"/>
        </w:rPr>
        <w:t>会计投资收益率与负债资金成本率差额</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w:t>
      </w:r>
      <w:r>
        <w:rPr>
          <w:rFonts w:hint="eastAsia" w:ascii="仿宋_GB2312" w:hAnsi="仿宋_GB2312" w:eastAsia="仿宋_GB2312" w:cs="仿宋_GB2312"/>
          <w:sz w:val="32"/>
          <w:szCs w:val="32"/>
          <w:highlight w:val="none"/>
          <w:lang w:val="en-US" w:eastAsia="zh-CN"/>
        </w:rPr>
        <w:t>未来三年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利率上行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负债资金成本随之跃升的压力</w:t>
      </w:r>
      <w:r>
        <w:rPr>
          <w:rFonts w:hint="eastAsia" w:ascii="仿宋_GB2312" w:hAnsi="仿宋_GB2312" w:eastAsia="仿宋_GB2312" w:cs="仿宋_GB2312"/>
          <w:sz w:val="32"/>
          <w:szCs w:val="32"/>
          <w:highlight w:val="none"/>
        </w:rPr>
        <w:t>情景下</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GB"/>
        </w:rPr>
        <w:t>已实现的投资收益</w:t>
      </w:r>
      <w:r>
        <w:rPr>
          <w:rFonts w:hint="eastAsia" w:ascii="仿宋_GB2312" w:hAnsi="仿宋_GB2312" w:eastAsia="仿宋_GB2312" w:cs="仿宋_GB2312"/>
          <w:sz w:val="32"/>
          <w:szCs w:val="32"/>
          <w:highlight w:val="none"/>
        </w:rPr>
        <w:t>能否覆盖公司</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客户的保证利益</w:t>
      </w:r>
      <w:r>
        <w:rPr>
          <w:rFonts w:hint="eastAsia" w:ascii="仿宋_GB2312" w:hAnsi="仿宋_GB2312" w:eastAsia="仿宋_GB2312" w:cs="仿宋_GB2312"/>
          <w:sz w:val="32"/>
          <w:szCs w:val="32"/>
          <w:highlight w:val="none"/>
          <w:lang w:val="en-US" w:eastAsia="zh-CN"/>
        </w:rPr>
        <w:t>和非保证利益</w:t>
      </w:r>
      <w:r>
        <w:rPr>
          <w:rFonts w:hint="eastAsia" w:ascii="仿宋_GB2312" w:hAnsi="仿宋_GB2312" w:eastAsia="仿宋_GB2312" w:cs="仿宋_GB2312"/>
          <w:sz w:val="32"/>
          <w:szCs w:val="32"/>
          <w:highlight w:val="none"/>
        </w:rPr>
        <w:t>。规模调整用于调节资产规模与负债规模的不匹配。</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kern w:val="2"/>
          <w:sz w:val="32"/>
          <w:szCs w:val="32"/>
          <w:highlight w:val="none"/>
          <w:lang w:bidi="ar"/>
        </w:rPr>
        <w:t>利率上行压力情景下</w:t>
      </w:r>
      <w:r>
        <w:rPr>
          <w:rFonts w:hint="eastAsia" w:ascii="仿宋_GB2312" w:hAnsi="仿宋_GB2312" w:eastAsia="仿宋_GB2312" w:cs="仿宋_GB2312"/>
          <w:sz w:val="32"/>
          <w:szCs w:val="32"/>
          <w:highlight w:val="none"/>
          <w:lang w:val="en-US" w:eastAsia="zh-CN"/>
        </w:rPr>
        <w:t>未来</w:t>
      </w:r>
      <w:r>
        <w:rPr>
          <w:rFonts w:hint="eastAsia" w:ascii="仿宋_GB2312" w:hAnsi="仿宋_GB2312" w:eastAsia="仿宋_GB2312" w:cs="仿宋_GB2312"/>
          <w:sz w:val="32"/>
          <w:szCs w:val="32"/>
          <w:highlight w:val="none"/>
          <w:shd w:val="clear" w:fill="FFFFFF"/>
          <w:lang w:val="en-US" w:eastAsia="zh-CN"/>
        </w:rPr>
        <w:t>第</w:t>
      </w:r>
      <w:r>
        <w:rPr>
          <w:rFonts w:hint="eastAsia" w:ascii="仿宋_GB2312" w:hAnsi="仿宋_GB2312" w:eastAsia="仿宋_GB2312" w:cs="仿宋_GB2312"/>
          <w:sz w:val="32"/>
          <w:szCs w:val="32"/>
          <w:highlight w:val="none"/>
          <w:lang w:val="en-US" w:eastAsia="zh-CN"/>
        </w:rPr>
        <w:t>X年</w:t>
      </w:r>
      <w:r>
        <w:rPr>
          <w:rFonts w:hint="eastAsia" w:ascii="仿宋_GB2312"/>
          <w:bCs/>
          <w:sz w:val="32"/>
          <w:szCs w:val="32"/>
          <w:highlight w:val="none"/>
          <w:lang w:val="en-GB" w:eastAsia="zh-CN"/>
        </w:rPr>
        <w:t>会计投资收益率与负债资金成本率差额</w:t>
      </w:r>
      <w:r>
        <w:rPr>
          <w:rFonts w:hint="eastAsia" w:ascii="仿宋_GB2312" w:hAnsi="仿宋_GB2312" w:eastAsia="仿宋_GB2312" w:cs="仿宋_GB2312"/>
          <w:sz w:val="32"/>
          <w:szCs w:val="32"/>
          <w:highlight w:val="none"/>
        </w:rPr>
        <w:t>=预测</w:t>
      </w:r>
      <w:r>
        <w:rPr>
          <w:rFonts w:hint="eastAsia" w:ascii="仿宋_GB2312" w:hAnsi="仿宋_GB2312" w:eastAsia="仿宋_GB2312" w:cs="仿宋_GB2312"/>
          <w:sz w:val="32"/>
          <w:szCs w:val="32"/>
          <w:highlight w:val="none"/>
          <w:lang w:val="en-US" w:eastAsia="zh-CN"/>
        </w:rPr>
        <w:t>会计投资收益率</w:t>
      </w:r>
      <w:r>
        <w:rPr>
          <w:rFonts w:hint="eastAsia" w:ascii="仿宋_GB2312" w:hAnsi="仿宋_GB2312" w:eastAsia="仿宋_GB2312" w:cs="仿宋_GB2312"/>
          <w:sz w:val="32"/>
          <w:szCs w:val="32"/>
          <w:highlight w:val="none"/>
        </w:rPr>
        <w:t>-预测未来</w:t>
      </w:r>
      <w:r>
        <w:rPr>
          <w:rFonts w:hint="eastAsia" w:ascii="仿宋_GB2312" w:hAnsi="仿宋_GB2312" w:eastAsia="仿宋_GB2312" w:cs="仿宋_GB2312"/>
          <w:sz w:val="32"/>
          <w:szCs w:val="32"/>
          <w:highlight w:val="none"/>
          <w:shd w:val="clear" w:fill="FFFFFF"/>
        </w:rPr>
        <w:t>第</w:t>
      </w:r>
      <w:r>
        <w:rPr>
          <w:rFonts w:hint="eastAsia" w:ascii="仿宋_GB2312" w:hAnsi="仿宋_GB2312" w:eastAsia="仿宋_GB2312" w:cs="仿宋_GB2312"/>
          <w:sz w:val="32"/>
          <w:szCs w:val="32"/>
          <w:highlight w:val="none"/>
        </w:rPr>
        <w:t>X年</w:t>
      </w:r>
      <w:r>
        <w:rPr>
          <w:rFonts w:hint="eastAsia" w:ascii="仿宋_GB2312" w:hAnsi="仿宋_GB2312" w:eastAsia="仿宋_GB2312" w:cs="仿宋_GB2312"/>
          <w:sz w:val="32"/>
          <w:szCs w:val="32"/>
          <w:highlight w:val="none"/>
          <w:lang w:val="en-US" w:eastAsia="zh-CN"/>
        </w:rPr>
        <w:t>寿险业务负债资金</w:t>
      </w:r>
      <w:r>
        <w:rPr>
          <w:rFonts w:hint="eastAsia" w:ascii="仿宋_GB2312" w:hAnsi="仿宋_GB2312" w:eastAsia="仿宋_GB2312" w:cs="仿宋_GB2312"/>
          <w:sz w:val="32"/>
          <w:szCs w:val="32"/>
          <w:highlight w:val="none"/>
        </w:rPr>
        <w:t>成本率×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预测未来</w:t>
      </w:r>
      <w:r>
        <w:rPr>
          <w:rFonts w:hint="eastAsia" w:ascii="仿宋_GB2312" w:hAnsi="仿宋_GB2312" w:eastAsia="仿宋_GB2312" w:cs="仿宋_GB2312"/>
          <w:sz w:val="32"/>
          <w:szCs w:val="32"/>
          <w:highlight w:val="none"/>
          <w:shd w:val="clear" w:fill="FFFFFF"/>
        </w:rPr>
        <w:t>第</w:t>
      </w:r>
      <w:r>
        <w:rPr>
          <w:rFonts w:hint="eastAsia" w:ascii="仿宋_GB2312" w:hAnsi="仿宋_GB2312" w:eastAsia="仿宋_GB2312" w:cs="仿宋_GB2312"/>
          <w:sz w:val="32"/>
          <w:szCs w:val="32"/>
          <w:highlight w:val="none"/>
        </w:rPr>
        <w:t>X年度负债平均规模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预测未来</w:t>
      </w:r>
      <w:r>
        <w:rPr>
          <w:rFonts w:hint="eastAsia" w:ascii="仿宋_GB2312" w:hAnsi="仿宋_GB2312" w:eastAsia="仿宋_GB2312" w:cs="仿宋_GB2312"/>
          <w:sz w:val="32"/>
          <w:szCs w:val="32"/>
          <w:highlight w:val="none"/>
          <w:shd w:val="clear" w:fill="FFFFFF"/>
        </w:rPr>
        <w:t>第</w:t>
      </w:r>
      <w:r>
        <w:rPr>
          <w:rFonts w:hint="eastAsia" w:ascii="仿宋_GB2312" w:hAnsi="仿宋_GB2312" w:eastAsia="仿宋_GB2312" w:cs="仿宋_GB2312"/>
          <w:sz w:val="32"/>
          <w:szCs w:val="32"/>
          <w:highlight w:val="none"/>
        </w:rPr>
        <w:t>X年度</w:t>
      </w:r>
      <w:r>
        <w:rPr>
          <w:rFonts w:hint="eastAsia" w:ascii="仿宋_GB2312" w:hAnsi="仿宋_GB2312" w:eastAsia="仿宋_GB2312" w:cs="仿宋_GB2312"/>
          <w:sz w:val="32"/>
          <w:szCs w:val="32"/>
          <w:highlight w:val="none"/>
          <w:lang w:val="en-US" w:eastAsia="zh-CN"/>
        </w:rPr>
        <w:t>调整后的资金运用平均净额</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snapToGrid/>
        <w:spacing w:beforeLines="0" w:afterLines="0" w:line="58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在计算普通账户</w:t>
      </w:r>
      <w:r>
        <w:rPr>
          <w:rFonts w:hint="eastAsia" w:ascii="仿宋_GB2312"/>
          <w:bCs/>
          <w:sz w:val="32"/>
          <w:szCs w:val="32"/>
          <w:highlight w:val="none"/>
          <w:lang w:val="en-GB" w:eastAsia="zh-CN"/>
        </w:rPr>
        <w:t>利差</w:t>
      </w:r>
      <w:r>
        <w:rPr>
          <w:rFonts w:hint="eastAsia" w:ascii="仿宋_GB2312" w:hAnsi="仿宋_GB2312" w:eastAsia="仿宋_GB2312" w:cs="仿宋_GB2312"/>
          <w:sz w:val="32"/>
          <w:szCs w:val="32"/>
          <w:highlight w:val="none"/>
        </w:rPr>
        <w:t>时，应当在投资收益中扣除公司发行</w:t>
      </w:r>
      <w:r>
        <w:rPr>
          <w:rFonts w:hint="eastAsia" w:ascii="仿宋_GB2312" w:hAnsi="仿宋_GB2312" w:eastAsia="仿宋_GB2312" w:cs="仿宋_GB2312"/>
          <w:sz w:val="32"/>
          <w:szCs w:val="32"/>
          <w:highlight w:val="none"/>
          <w:lang w:val="en-GB"/>
        </w:rPr>
        <w:t>次级债</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GB"/>
        </w:rPr>
        <w:t>资本补充债</w:t>
      </w:r>
      <w:r>
        <w:rPr>
          <w:rFonts w:hint="eastAsia" w:ascii="仿宋_GB2312" w:hAnsi="仿宋_GB2312" w:eastAsia="仿宋_GB2312" w:cs="仿宋_GB2312"/>
          <w:sz w:val="32"/>
          <w:szCs w:val="32"/>
          <w:highlight w:val="none"/>
          <w:lang w:val="en-US" w:eastAsia="zh-CN"/>
        </w:rPr>
        <w:t>和无固定期限资本债账户</w:t>
      </w:r>
      <w:r>
        <w:rPr>
          <w:rFonts w:hint="eastAsia" w:ascii="仿宋_GB2312" w:hAnsi="仿宋_GB2312" w:eastAsia="仿宋_GB2312" w:cs="仿宋_GB2312"/>
          <w:sz w:val="32"/>
          <w:szCs w:val="32"/>
          <w:highlight w:val="none"/>
          <w:lang w:val="en-GB"/>
        </w:rPr>
        <w:t>的利息</w:t>
      </w:r>
      <w:r>
        <w:rPr>
          <w:rFonts w:hint="eastAsia" w:ascii="仿宋_GB2312" w:hAnsi="仿宋_GB2312" w:eastAsia="仿宋_GB2312" w:cs="仿宋_GB2312"/>
          <w:sz w:val="32"/>
          <w:szCs w:val="32"/>
          <w:highlight w:val="none"/>
        </w:rPr>
        <w:t>支出。</w:t>
      </w:r>
    </w:p>
    <w:p>
      <w:pPr>
        <w:keepNext w:val="0"/>
        <w:keepLines w:val="0"/>
        <w:pageBreakBefore w:val="0"/>
        <w:widowControl/>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 w:val="0"/>
          <w:bCs w:val="0"/>
          <w:i w:val="0"/>
          <w:sz w:val="32"/>
          <w:szCs w:val="32"/>
          <w:highlight w:val="none"/>
          <w:lang w:val="en-GB" w:eastAsia="zh-CN"/>
        </w:rPr>
      </w:pPr>
      <w:r>
        <w:rPr>
          <w:rFonts w:hint="eastAsia" w:ascii="楷体_GB2312" w:hAnsi="楷体_GB2312" w:eastAsia="楷体_GB2312" w:cs="楷体_GB2312"/>
          <w:b w:val="0"/>
          <w:bCs w:val="0"/>
          <w:i w:val="0"/>
          <w:sz w:val="32"/>
          <w:szCs w:val="32"/>
          <w:highlight w:val="none"/>
          <w:lang w:val="en-GB" w:eastAsia="zh-CN"/>
        </w:rPr>
        <w:t>（七）</w:t>
      </w:r>
      <w:r>
        <w:rPr>
          <w:rFonts w:hint="eastAsia" w:ascii="楷体_GB2312" w:hAnsi="楷体_GB2312" w:eastAsia="楷体_GB2312" w:cs="楷体_GB2312"/>
          <w:b w:val="0"/>
          <w:bCs w:val="0"/>
          <w:sz w:val="32"/>
          <w:szCs w:val="32"/>
          <w:highlight w:val="none"/>
          <w:lang w:val="en-GB" w:eastAsia="zh-CN"/>
        </w:rPr>
        <w:t>利率下行</w:t>
      </w:r>
      <w:r>
        <w:rPr>
          <w:rFonts w:hint="eastAsia" w:ascii="楷体_GB2312" w:hAnsi="楷体_GB2312" w:eastAsia="楷体_GB2312" w:cs="楷体_GB2312"/>
          <w:b w:val="0"/>
          <w:bCs w:val="0"/>
          <w:sz w:val="32"/>
          <w:szCs w:val="32"/>
          <w:highlight w:val="none"/>
          <w:lang w:val="en-GB"/>
        </w:rPr>
        <w:t>压力情景下</w:t>
      </w:r>
      <w:r>
        <w:rPr>
          <w:rFonts w:hint="eastAsia" w:ascii="楷体_GB2312" w:hAnsi="楷体_GB2312" w:eastAsia="楷体_GB2312" w:cs="楷体_GB2312"/>
          <w:b w:val="0"/>
          <w:bCs w:val="0"/>
          <w:sz w:val="32"/>
          <w:szCs w:val="32"/>
          <w:highlight w:val="none"/>
          <w:lang w:val="en-GB" w:eastAsia="zh-CN"/>
        </w:rPr>
        <w:t>固收资产到期投资收益率</w:t>
      </w:r>
      <w:r>
        <w:rPr>
          <w:rFonts w:hint="eastAsia" w:ascii="楷体_GB2312" w:hAnsi="楷体_GB2312" w:eastAsia="楷体_GB2312" w:cs="楷体_GB2312"/>
          <w:b w:val="0"/>
          <w:bCs w:val="0"/>
          <w:sz w:val="32"/>
          <w:szCs w:val="32"/>
          <w:highlight w:val="none"/>
          <w:lang w:val="en-GB"/>
        </w:rPr>
        <w:t>与负债</w:t>
      </w:r>
      <w:r>
        <w:rPr>
          <w:rFonts w:hint="eastAsia" w:ascii="楷体_GB2312" w:hAnsi="楷体_GB2312" w:eastAsia="楷体_GB2312" w:cs="楷体_GB2312"/>
          <w:b w:val="0"/>
          <w:bCs w:val="0"/>
          <w:sz w:val="32"/>
          <w:szCs w:val="32"/>
          <w:highlight w:val="none"/>
          <w:lang w:val="en-GB" w:eastAsia="zh-CN"/>
        </w:rPr>
        <w:t>保证成本率</w:t>
      </w:r>
      <w:r>
        <w:rPr>
          <w:rFonts w:hint="eastAsia" w:ascii="楷体_GB2312" w:hAnsi="楷体_GB2312" w:eastAsia="楷体_GB2312" w:cs="楷体_GB2312"/>
          <w:b w:val="0"/>
          <w:bCs w:val="0"/>
          <w:sz w:val="32"/>
          <w:szCs w:val="32"/>
          <w:highlight w:val="none"/>
          <w:lang w:val="en-GB"/>
        </w:rPr>
        <w:t>差额</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rPr>
        <w:t>衡量</w:t>
      </w:r>
      <w:r>
        <w:rPr>
          <w:rFonts w:hint="eastAsia" w:ascii="仿宋_GB2312" w:hAnsi="仿宋_GB2312" w:eastAsia="仿宋_GB2312" w:cs="仿宋_GB2312"/>
          <w:sz w:val="32"/>
          <w:szCs w:val="32"/>
          <w:highlight w:val="none"/>
          <w:lang w:val="en-US" w:eastAsia="zh-CN"/>
        </w:rPr>
        <w:t>人身</w:t>
      </w:r>
      <w:r>
        <w:rPr>
          <w:rFonts w:hint="eastAsia" w:ascii="仿宋_GB2312" w:hAnsi="仿宋_GB2312" w:eastAsia="仿宋_GB2312" w:cs="仿宋_GB2312"/>
          <w:sz w:val="32"/>
          <w:szCs w:val="32"/>
          <w:highlight w:val="none"/>
        </w:rPr>
        <w:t>保险公司</w:t>
      </w:r>
      <w:r>
        <w:rPr>
          <w:rFonts w:hint="eastAsia" w:ascii="仿宋_GB2312" w:hAnsi="仿宋_GB2312" w:eastAsia="仿宋_GB2312" w:cs="仿宋_GB2312"/>
          <w:sz w:val="32"/>
          <w:szCs w:val="32"/>
          <w:highlight w:val="none"/>
          <w:lang w:val="en-US" w:eastAsia="zh-CN"/>
        </w:rPr>
        <w:t>未来三年</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利率下行、再投资收益率下降压力</w:t>
      </w:r>
      <w:r>
        <w:rPr>
          <w:rFonts w:hint="eastAsia" w:ascii="仿宋_GB2312" w:hAnsi="仿宋_GB2312" w:eastAsia="仿宋_GB2312" w:cs="仿宋_GB2312"/>
          <w:sz w:val="32"/>
          <w:szCs w:val="32"/>
          <w:highlight w:val="none"/>
        </w:rPr>
        <w:t>情景下，整体</w:t>
      </w:r>
      <w:r>
        <w:rPr>
          <w:rFonts w:hint="eastAsia" w:ascii="仿宋_GB2312" w:hAnsi="仿宋_GB2312" w:eastAsia="仿宋_GB2312" w:cs="仿宋_GB2312"/>
          <w:sz w:val="32"/>
          <w:szCs w:val="32"/>
          <w:highlight w:val="none"/>
          <w:lang w:val="en-US" w:eastAsia="zh-CN"/>
        </w:rPr>
        <w:t>固定收益类投资的到期收益率</w:t>
      </w:r>
      <w:r>
        <w:rPr>
          <w:rFonts w:hint="eastAsia" w:ascii="仿宋_GB2312" w:hAnsi="仿宋_GB2312" w:eastAsia="仿宋_GB2312" w:cs="仿宋_GB2312"/>
          <w:sz w:val="32"/>
          <w:szCs w:val="32"/>
          <w:highlight w:val="none"/>
        </w:rPr>
        <w:t>能否</w:t>
      </w:r>
      <w:r>
        <w:rPr>
          <w:rFonts w:hint="default" w:ascii="仿宋_GB2312" w:hAnsi="仿宋_GB2312" w:eastAsia="仿宋_GB2312" w:cs="仿宋_GB2312"/>
          <w:sz w:val="32"/>
          <w:szCs w:val="32"/>
          <w:highlight w:val="none"/>
          <w:lang w:val="en-US"/>
        </w:rPr>
        <w:t>覆盖</w:t>
      </w:r>
      <w:r>
        <w:rPr>
          <w:rFonts w:hint="eastAsia" w:ascii="仿宋_GB2312" w:hAnsi="仿宋_GB2312" w:eastAsia="仿宋_GB2312" w:cs="仿宋_GB2312"/>
          <w:sz w:val="32"/>
          <w:szCs w:val="32"/>
          <w:highlight w:val="none"/>
        </w:rPr>
        <w:t>公司</w:t>
      </w:r>
      <w:r>
        <w:rPr>
          <w:rFonts w:hint="eastAsia" w:ascii="仿宋_GB2312" w:hAnsi="仿宋_GB2312" w:eastAsia="仿宋_GB2312" w:cs="仿宋_GB2312"/>
          <w:sz w:val="32"/>
          <w:szCs w:val="32"/>
          <w:highlight w:val="none"/>
          <w:lang w:val="en-GB" w:eastAsia="zh-CN"/>
        </w:rPr>
        <w:t>给予</w:t>
      </w:r>
      <w:r>
        <w:rPr>
          <w:rFonts w:hint="eastAsia" w:ascii="仿宋_GB2312" w:hAnsi="仿宋_GB2312" w:eastAsia="仿宋_GB2312" w:cs="仿宋_GB2312"/>
          <w:sz w:val="32"/>
          <w:szCs w:val="32"/>
          <w:highlight w:val="none"/>
          <w:lang w:val="en-GB"/>
        </w:rPr>
        <w:t>客户的保证利益</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利率下行</w:t>
      </w:r>
      <w:r>
        <w:rPr>
          <w:rFonts w:hint="eastAsia" w:ascii="仿宋_GB2312" w:hAnsi="仿宋_GB2312" w:eastAsia="仿宋_GB2312" w:cs="仿宋_GB2312"/>
          <w:sz w:val="32"/>
          <w:szCs w:val="32"/>
          <w:highlight w:val="none"/>
        </w:rPr>
        <w:t>压力情景下</w:t>
      </w:r>
      <w:r>
        <w:rPr>
          <w:rFonts w:hint="eastAsia" w:ascii="仿宋_GB2312" w:hAnsi="仿宋_GB2312" w:eastAsia="仿宋_GB2312" w:cs="仿宋_GB2312"/>
          <w:sz w:val="32"/>
          <w:szCs w:val="32"/>
          <w:highlight w:val="none"/>
          <w:lang w:val="en-US" w:eastAsia="zh-CN"/>
        </w:rPr>
        <w:t>未来</w:t>
      </w:r>
      <w:r>
        <w:rPr>
          <w:rFonts w:hint="eastAsia" w:ascii="仿宋_GB2312" w:hAnsi="仿宋_GB2312" w:eastAsia="仿宋_GB2312" w:cs="仿宋_GB2312"/>
          <w:b w:val="0"/>
          <w:bCs w:val="0"/>
          <w:sz w:val="32"/>
          <w:szCs w:val="32"/>
          <w:highlight w:val="none"/>
          <w:shd w:val="clear" w:fill="FFFFFF"/>
          <w:lang w:val="en-US" w:eastAsia="zh-CN"/>
        </w:rPr>
        <w:t>第</w:t>
      </w:r>
      <w:r>
        <w:rPr>
          <w:rFonts w:hint="eastAsia" w:ascii="仿宋_GB2312" w:hAnsi="仿宋_GB2312" w:eastAsia="仿宋_GB2312" w:cs="仿宋_GB2312"/>
          <w:b w:val="0"/>
          <w:bCs w:val="0"/>
          <w:sz w:val="32"/>
          <w:szCs w:val="32"/>
          <w:highlight w:val="none"/>
          <w:lang w:val="en-US" w:eastAsia="zh-CN"/>
        </w:rPr>
        <w:t>X年固收资产到期投资收益率</w:t>
      </w:r>
      <w:r>
        <w:rPr>
          <w:rFonts w:hint="eastAsia" w:ascii="仿宋_GB2312" w:hAnsi="仿宋_GB2312" w:eastAsia="仿宋_GB2312" w:cs="仿宋_GB2312"/>
          <w:b w:val="0"/>
          <w:bCs w:val="0"/>
          <w:sz w:val="32"/>
          <w:szCs w:val="32"/>
          <w:highlight w:val="none"/>
        </w:rPr>
        <w:t>与负债</w:t>
      </w:r>
      <w:r>
        <w:rPr>
          <w:rFonts w:hint="eastAsia" w:ascii="仿宋_GB2312" w:hAnsi="仿宋_GB2312" w:eastAsia="仿宋_GB2312" w:cs="仿宋_GB2312"/>
          <w:b w:val="0"/>
          <w:bCs w:val="0"/>
          <w:sz w:val="32"/>
          <w:szCs w:val="32"/>
          <w:highlight w:val="none"/>
          <w:lang w:val="en-US" w:eastAsia="zh-CN"/>
        </w:rPr>
        <w:t>保证成本率</w:t>
      </w:r>
      <w:r>
        <w:rPr>
          <w:rFonts w:hint="eastAsia" w:ascii="仿宋_GB2312" w:hAnsi="仿宋_GB2312" w:eastAsia="仿宋_GB2312" w:cs="仿宋_GB2312"/>
          <w:b w:val="0"/>
          <w:bCs w:val="0"/>
          <w:sz w:val="32"/>
          <w:szCs w:val="32"/>
          <w:highlight w:val="none"/>
        </w:rPr>
        <w:t>差额</w:t>
      </w:r>
      <w:r>
        <w:rPr>
          <w:rFonts w:hint="eastAsia" w:ascii="仿宋_GB2312" w:hAnsi="仿宋_GB2312" w:eastAsia="仿宋_GB2312" w:cs="仿宋_GB2312"/>
          <w:sz w:val="32"/>
          <w:szCs w:val="32"/>
          <w:highlight w:val="none"/>
        </w:rPr>
        <w:t>=预测可计算现金流的固定收益类投资资产到期收益率-预测未来</w:t>
      </w:r>
      <w:r>
        <w:rPr>
          <w:rFonts w:hint="eastAsia" w:ascii="仿宋_GB2312" w:hAnsi="仿宋_GB2312" w:eastAsia="仿宋_GB2312" w:cs="仿宋_GB2312"/>
          <w:sz w:val="32"/>
          <w:szCs w:val="32"/>
          <w:highlight w:val="none"/>
          <w:shd w:val="clear" w:fill="FFFFFF"/>
        </w:rPr>
        <w:t>第</w:t>
      </w:r>
      <w:r>
        <w:rPr>
          <w:rFonts w:hint="eastAsia" w:ascii="仿宋_GB2312" w:hAnsi="仿宋_GB2312" w:eastAsia="仿宋_GB2312" w:cs="仿宋_GB2312"/>
          <w:sz w:val="32"/>
          <w:szCs w:val="32"/>
          <w:highlight w:val="none"/>
        </w:rPr>
        <w:t>X年保证成本率</w:t>
      </w:r>
    </w:p>
    <w:p>
      <w:pPr>
        <w:keepNext w:val="0"/>
        <w:keepLines w:val="0"/>
        <w:pageBreakBefore w:val="0"/>
        <w:widowControl/>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 w:hAnsi="楷体" w:eastAsia="楷体" w:cs="楷体"/>
          <w:b w:val="0"/>
          <w:bCs w:val="0"/>
          <w:sz w:val="32"/>
          <w:szCs w:val="32"/>
          <w:highlight w:val="none"/>
          <w:lang w:val="en-GB"/>
        </w:rPr>
      </w:pPr>
      <w:r>
        <w:rPr>
          <w:rFonts w:hint="eastAsia" w:ascii="楷体_GB2312" w:hAnsi="楷体_GB2312" w:eastAsia="楷体_GB2312" w:cs="楷体_GB2312"/>
          <w:b w:val="0"/>
          <w:bCs w:val="0"/>
          <w:sz w:val="32"/>
          <w:szCs w:val="32"/>
          <w:highlight w:val="none"/>
          <w:lang w:val="en-GB" w:eastAsia="zh-CN"/>
        </w:rPr>
        <w:t>（八）</w:t>
      </w:r>
      <w:r>
        <w:rPr>
          <w:rFonts w:hint="eastAsia" w:ascii="楷体_GB2312" w:hAnsi="楷体_GB2312" w:eastAsia="楷体_GB2312" w:cs="楷体_GB2312"/>
          <w:b w:val="0"/>
          <w:bCs w:val="0"/>
          <w:sz w:val="32"/>
          <w:szCs w:val="32"/>
          <w:highlight w:val="none"/>
          <w:lang w:val="en-GB"/>
        </w:rPr>
        <w:t>流动性匹配率</w:t>
      </w:r>
    </w:p>
    <w:p>
      <w:pPr>
        <w:keepNext w:val="0"/>
        <w:keepLines w:val="0"/>
        <w:pageBreakBefore w:val="0"/>
        <w:numPr>
          <w:ilvl w:val="0"/>
          <w:numId w:val="0"/>
        </w:numPr>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旨在引导人身保险公司合理配置长期资产，避免过度依赖</w:t>
      </w:r>
      <w:r>
        <w:rPr>
          <w:rFonts w:hint="eastAsia" w:ascii="仿宋_GB2312" w:hAnsi="仿宋_GB2312" w:eastAsia="仿宋_GB2312" w:cs="仿宋_GB2312"/>
          <w:sz w:val="32"/>
          <w:szCs w:val="32"/>
          <w:highlight w:val="none"/>
          <w:lang w:eastAsia="zh-CN"/>
        </w:rPr>
        <w:t>中短期保险负债</w:t>
      </w:r>
      <w:r>
        <w:rPr>
          <w:rFonts w:hint="eastAsia" w:ascii="仿宋_GB2312" w:hAnsi="仿宋_GB2312" w:eastAsia="仿宋_GB2312" w:cs="仿宋_GB2312"/>
          <w:sz w:val="32"/>
          <w:szCs w:val="32"/>
          <w:highlight w:val="none"/>
        </w:rPr>
        <w:t>进行长期投资，提高风险抵御能力。</w:t>
      </w:r>
    </w:p>
    <w:p>
      <w:pPr>
        <w:keepNext w:val="0"/>
        <w:keepLines w:val="0"/>
        <w:pageBreakBefore w:val="0"/>
        <w:widowControl/>
        <w:kinsoku/>
        <w:wordWrap/>
        <w:overflowPunct/>
        <w:topLinePunct w:val="0"/>
        <w:autoSpaceDE/>
        <w:autoSpaceDN/>
        <w:bidi w:val="0"/>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流动性匹配率的计算</w:t>
      </w:r>
      <w:r>
        <w:rPr>
          <w:rFonts w:hint="eastAsia" w:ascii="仿宋_GB2312" w:hAnsi="仿宋_GB2312" w:eastAsia="仿宋_GB2312" w:cs="仿宋_GB2312"/>
          <w:sz w:val="32"/>
          <w:szCs w:val="32"/>
          <w:highlight w:val="none"/>
          <w:lang w:eastAsia="zh-CN"/>
        </w:rPr>
        <w:t>公式</w:t>
      </w:r>
      <w:r>
        <w:rPr>
          <w:rFonts w:hint="eastAsia" w:ascii="仿宋_GB2312" w:hAnsi="仿宋_GB2312" w:eastAsia="仿宋_GB2312" w:cs="仿宋_GB2312"/>
          <w:sz w:val="32"/>
          <w:szCs w:val="32"/>
          <w:highlight w:val="none"/>
        </w:rPr>
        <w:t>如下：</w:t>
      </w:r>
    </w:p>
    <w:p>
      <w:pPr>
        <w:keepNext w:val="0"/>
        <w:keepLines w:val="0"/>
        <w:pageBreakBefore w:val="0"/>
        <w:widowControl/>
        <w:kinsoku/>
        <w:wordWrap/>
        <w:overflowPunct/>
        <w:topLinePunct w:val="0"/>
        <w:autoSpaceDE/>
        <w:autoSpaceDN/>
        <w:bidi w:val="0"/>
        <w:adjustRightInd/>
        <w:snapToGrid/>
        <w:spacing w:before="0" w:beforeLines="0" w:after="0" w:afterLines="0" w:line="360" w:lineRule="auto"/>
        <w:ind w:firstLine="640"/>
        <w:textAlignment w:val="auto"/>
        <w:rPr>
          <w:rFonts w:hint="eastAsia" w:ascii="仿宋_GB2312" w:hAnsi="仿宋_GB2312" w:eastAsia="仿宋_GB2312" w:cs="仿宋_GB2312"/>
          <w:sz w:val="32"/>
          <w:szCs w:val="32"/>
          <w:highlight w:val="none"/>
          <w:lang w:val="en-GB"/>
        </w:rPr>
      </w:pPr>
      <m:oMathPara>
        <m:oMathParaPr>
          <m:jc m:val="left"/>
        </m:oMathParaPr>
        <m:oMath>
          <m:r>
            <m:rPr>
              <m:sty m:val="p"/>
            </m:rPr>
            <w:rPr>
              <w:rFonts w:hint="eastAsia" w:ascii="DejaVu Math TeX Gyre" w:hAnsi="DejaVu Math TeX Gyre" w:eastAsia="仿宋_GB2312" w:cs="仿宋_GB2312"/>
              <w:sz w:val="32"/>
              <w:szCs w:val="32"/>
              <w:highlight w:val="none"/>
            </w:rPr>
            <m:t>流动性匹配率=</m:t>
          </m:r>
          <m:f>
            <m:fPr>
              <m:ctrlPr>
                <w:rPr>
                  <w:rFonts w:hint="eastAsia" w:ascii="DejaVu Math TeX Gyre" w:hAnsi="DejaVu Math TeX Gyre" w:eastAsia="仿宋_GB2312" w:cs="仿宋_GB2312"/>
                  <w:sz w:val="32"/>
                  <w:szCs w:val="32"/>
                  <w:highlight w:val="none"/>
                </w:rPr>
              </m:ctrlPr>
            </m:fPr>
            <m:num>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r>
                <m:rPr>
                  <m:sty m:val="p"/>
                </m:rPr>
                <w:rPr>
                  <w:rFonts w:hint="default" w:ascii="DejaVu Math TeX Gyre" w:hAnsi="DejaVu Math TeX Gyre"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ctrlPr>
                <w:rPr>
                  <w:rFonts w:hint="eastAsia" w:ascii="DejaVu Math TeX Gyre" w:hAnsi="DejaVu Math TeX Gyre" w:eastAsia="仿宋_GB2312" w:cs="仿宋_GB2312"/>
                  <w:sz w:val="32"/>
                  <w:szCs w:val="32"/>
                  <w:highlight w:val="none"/>
                </w:rPr>
              </m:ctrlPr>
            </m:num>
            <m:den>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LTI</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×LTI+</m:t>
              </m:r>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RE</m:t>
                  </m:r>
                  <m:ctrlPr>
                    <w:rPr>
                      <w:rFonts w:hint="eastAsia" w:ascii="DejaVu Math TeX Gyre" w:hAnsi="DejaVu Math TeX Gyre" w:eastAsia="仿宋_GB2312" w:cs="仿宋_GB2312"/>
                      <w:sz w:val="32"/>
                      <w:szCs w:val="32"/>
                      <w:highlight w:val="none"/>
                    </w:rPr>
                  </m:ctrlPr>
                </m:sub>
              </m:sSub>
              <m:r>
                <m:rPr>
                  <m:sty m:val="p"/>
                </m:rPr>
                <w:rPr>
                  <w:rFonts w:hint="eastAsia" w:ascii="DejaVu Math TeX Gyre" w:hAnsi="DejaVu Math TeX Gyre" w:eastAsia="仿宋_GB2312" w:cs="仿宋_GB2312"/>
                  <w:sz w:val="32"/>
                  <w:szCs w:val="32"/>
                  <w:highlight w:val="none"/>
                </w:rPr>
                <m:t>×RE</m:t>
              </m:r>
              <m:ctrlPr>
                <w:rPr>
                  <w:rFonts w:hint="eastAsia" w:ascii="DejaVu Math TeX Gyre" w:hAnsi="DejaVu Math TeX Gyre" w:eastAsia="仿宋_GB2312" w:cs="仿宋_GB2312"/>
                  <w:sz w:val="32"/>
                  <w:szCs w:val="32"/>
                  <w:highlight w:val="none"/>
                </w:rPr>
              </m:ctrlPr>
            </m:den>
          </m:f>
        </m:oMath>
      </m:oMathPara>
    </w:p>
    <w:p>
      <w:pPr>
        <w:keepNext w:val="0"/>
        <w:keepLines w:val="0"/>
        <w:pageBreakBefore w:val="0"/>
        <w:widowControl/>
        <w:kinsoku/>
        <w:wordWrap/>
        <w:overflowPunct/>
        <w:topLinePunct w:val="0"/>
        <w:autoSpaceDE/>
        <w:autoSpaceDN/>
        <w:bidi w:val="0"/>
        <w:adjustRightInd/>
        <w:snapToGrid/>
        <w:spacing w:before="313" w:beforeLines="100" w:afterLines="0" w:line="580" w:lineRule="exact"/>
        <w:ind w:firstLine="640"/>
        <w:textAlignment w:val="auto"/>
        <w:rPr>
          <w:rFonts w:hint="eastAsia" w:ascii="仿宋_GB2312" w:hAnsi="仿宋_GB2312" w:eastAsia="仿宋_GB2312" w:cs="仿宋_GB2312"/>
          <w:sz w:val="32"/>
          <w:szCs w:val="32"/>
          <w:highlight w:val="none"/>
          <w:lang w:val="en-GB"/>
        </w:rPr>
      </w:pPr>
    </w:p>
    <w:p>
      <w:pPr>
        <w:keepNext w:val="0"/>
        <w:keepLines w:val="0"/>
        <w:pageBreakBefore w:val="0"/>
        <w:widowControl/>
        <w:kinsoku/>
        <w:wordWrap/>
        <w:overflowPunct/>
        <w:topLinePunct w:val="0"/>
        <w:autoSpaceDE/>
        <w:autoSpaceDN/>
        <w:bidi w:val="0"/>
        <w:adjustRightInd/>
        <w:snapToGrid/>
        <w:spacing w:before="313" w:beforeLines="100" w:afterLines="0" w:line="580" w:lineRule="exact"/>
        <w:ind w:firstLine="640"/>
        <w:textAlignment w:val="auto"/>
        <w:rPr>
          <w:rFonts w:hint="eastAsia" w:ascii="仿宋_GB2312" w:hAnsi="仿宋_GB2312" w:eastAsia="仿宋_GB2312" w:cs="仿宋_GB2312"/>
          <w:sz w:val="32"/>
          <w:szCs w:val="32"/>
          <w:highlight w:val="none"/>
          <w:lang w:val="en-GB"/>
        </w:rPr>
      </w:pPr>
      <w:r>
        <w:rPr>
          <w:rFonts w:hint="eastAsia" w:ascii="仿宋_GB2312" w:hAnsi="仿宋_GB2312" w:eastAsia="仿宋_GB2312" w:cs="仿宋_GB2312"/>
          <w:sz w:val="32"/>
          <w:szCs w:val="32"/>
          <w:highlight w:val="none"/>
          <w:lang w:val="en-GB"/>
        </w:rPr>
        <w:t>参数说明：</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为负债现金流流出修正久期；</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Out</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为负债现金流流出</w:t>
      </w:r>
      <w:r>
        <w:rPr>
          <w:rFonts w:hint="eastAsia" w:ascii="仿宋_GB2312" w:hAnsi="仿宋_GB2312" w:eastAsia="仿宋_GB2312" w:cs="仿宋_GB2312"/>
          <w:sz w:val="32"/>
          <w:szCs w:val="32"/>
          <w:highlight w:val="none"/>
          <w:lang w:val="en-GB" w:eastAsia="zh-CN"/>
        </w:rPr>
        <w:t>的折</w:t>
      </w:r>
      <w:r>
        <w:rPr>
          <w:rFonts w:hint="eastAsia" w:ascii="仿宋_GB2312" w:hAnsi="仿宋_GB2312" w:eastAsia="仿宋_GB2312" w:cs="仿宋_GB2312"/>
          <w:sz w:val="32"/>
          <w:szCs w:val="32"/>
          <w:highlight w:val="none"/>
          <w:lang w:val="en-GB"/>
        </w:rPr>
        <w:t>现值；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为资产现金流修正久期；</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A</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为资产现金流的折现值；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为负债现金流流入修正久期；</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eastAsia="zh-CN"/>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PV</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In</m:t>
            </m:r>
            <m:ctrlPr>
              <w:rPr>
                <w:rFonts w:hint="eastAsia" w:ascii="DejaVu Math TeX Gyre" w:hAnsi="DejaVu Math TeX Gyre" w:eastAsia="仿宋_GB2312" w:cs="仿宋_GB2312"/>
                <w:sz w:val="32"/>
                <w:szCs w:val="32"/>
                <w:highlight w:val="none"/>
              </w:rPr>
            </m:ctrlPr>
          </m:sub>
        </m:sSub>
      </m:oMath>
      <w:r>
        <w:rPr>
          <w:rFonts w:hint="eastAsia" w:hAnsi="DejaVu Math TeX Gyre" w:eastAsia="仿宋_GB2312" w:cs="仿宋_GB2312"/>
          <w:i w:val="0"/>
          <w:sz w:val="32"/>
          <w:szCs w:val="32"/>
          <w:highlight w:val="none"/>
          <w:lang w:val="en-GB" w:eastAsia="zh-CN"/>
        </w:rPr>
        <w:t>为负债现金流流入的折现值；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LTI</m:t>
        </m:r>
      </m:oMath>
      <w:r>
        <w:rPr>
          <w:rFonts w:hint="eastAsia" w:ascii="仿宋_GB2312" w:hAnsi="仿宋_GB2312" w:eastAsia="仿宋_GB2312" w:cs="仿宋_GB2312"/>
          <w:sz w:val="32"/>
          <w:szCs w:val="32"/>
          <w:highlight w:val="none"/>
          <w:lang w:val="en-GB"/>
        </w:rPr>
        <w:t>为长期股权投资的账面价值；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LTI</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为长期股权投资的期限，取值12年；</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textAlignment w:val="auto"/>
        <w:rPr>
          <w:rFonts w:hint="eastAsia" w:ascii="仿宋_GB2312" w:hAnsi="仿宋_GB2312" w:eastAsia="仿宋_GB2312" w:cs="仿宋_GB2312"/>
          <w:sz w:val="32"/>
          <w:szCs w:val="32"/>
          <w:highlight w:val="none"/>
          <w:lang w:val="en-GB"/>
        </w:rPr>
      </w:pPr>
      <m:oMath>
        <m:r>
          <m:rPr>
            <m:sty m:val="p"/>
          </m:rPr>
          <w:rPr>
            <w:rFonts w:hint="eastAsia" w:ascii="DejaVu Math TeX Gyre" w:hAnsi="DejaVu Math TeX Gyre" w:eastAsia="仿宋_GB2312" w:cs="仿宋_GB2312"/>
            <w:sz w:val="32"/>
            <w:szCs w:val="32"/>
            <w:highlight w:val="none"/>
          </w:rPr>
          <m:t>RE</m:t>
        </m:r>
      </m:oMath>
      <w:r>
        <w:rPr>
          <w:rFonts w:hint="eastAsia" w:ascii="仿宋_GB2312" w:hAnsi="仿宋_GB2312" w:eastAsia="仿宋_GB2312" w:cs="仿宋_GB2312"/>
          <w:sz w:val="32"/>
          <w:szCs w:val="32"/>
          <w:highlight w:val="none"/>
          <w:lang w:val="en-GB"/>
        </w:rPr>
        <w:t>为</w:t>
      </w:r>
      <w:r>
        <w:rPr>
          <w:rFonts w:hint="eastAsia" w:ascii="仿宋_GB2312" w:hAnsi="仿宋_GB2312" w:eastAsia="仿宋_GB2312" w:cs="仿宋_GB2312"/>
          <w:sz w:val="32"/>
          <w:szCs w:val="32"/>
          <w:highlight w:val="none"/>
          <w:lang w:val="en-GB" w:eastAsia="zh-CN"/>
        </w:rPr>
        <w:t>以物权或项目公司股权方式持有的不动产类投资资产</w:t>
      </w:r>
      <w:r>
        <w:rPr>
          <w:rFonts w:hint="eastAsia" w:ascii="仿宋_GB2312" w:hAnsi="仿宋_GB2312" w:eastAsia="仿宋_GB2312" w:cs="仿宋_GB2312"/>
          <w:sz w:val="32"/>
          <w:szCs w:val="32"/>
          <w:highlight w:val="none"/>
          <w:lang w:val="en-GB"/>
        </w:rPr>
        <w:t>的账面价值；</w:t>
      </w:r>
    </w:p>
    <w:p>
      <w:pPr>
        <w:keepNext w:val="0"/>
        <w:keepLines w:val="0"/>
        <w:pageBreakBefore w:val="0"/>
        <w:widowControl/>
        <w:kinsoku/>
        <w:wordWrap/>
        <w:overflowPunct/>
        <w:topLinePunct w:val="0"/>
        <w:autoSpaceDE/>
        <w:autoSpaceDN/>
        <w:bidi w:val="0"/>
        <w:adjustRightInd/>
        <w:snapToGrid/>
        <w:spacing w:beforeLines="0" w:afterLines="0" w:line="580" w:lineRule="exact"/>
        <w:ind w:firstLine="640"/>
        <w:jc w:val="left"/>
        <w:textAlignment w:val="auto"/>
        <w:rPr>
          <w:highlight w:val="none"/>
        </w:rPr>
      </w:pPr>
      <m:oMath>
        <m:sSub>
          <m:sSubPr>
            <m:ctrlPr>
              <w:rPr>
                <w:rFonts w:hint="eastAsia" w:ascii="DejaVu Math TeX Gyre" w:hAnsi="DejaVu Math TeX Gyre" w:eastAsia="仿宋_GB2312" w:cs="仿宋_GB2312"/>
                <w:sz w:val="32"/>
                <w:szCs w:val="32"/>
                <w:highlight w:val="none"/>
              </w:rPr>
            </m:ctrlPr>
          </m:sSubPr>
          <m:e>
            <m:r>
              <m:rPr>
                <m:sty m:val="p"/>
              </m:rPr>
              <w:rPr>
                <w:rFonts w:hint="eastAsia" w:ascii="DejaVu Math TeX Gyre" w:hAnsi="DejaVu Math TeX Gyre" w:eastAsia="仿宋_GB2312" w:cs="仿宋_GB2312"/>
                <w:sz w:val="32"/>
                <w:szCs w:val="32"/>
                <w:highlight w:val="none"/>
              </w:rPr>
              <m:t>Dur</m:t>
            </m:r>
            <m:ctrlPr>
              <w:rPr>
                <w:rFonts w:hint="eastAsia" w:ascii="DejaVu Math TeX Gyre" w:hAnsi="DejaVu Math TeX Gyre" w:eastAsia="仿宋_GB2312" w:cs="仿宋_GB2312"/>
                <w:sz w:val="32"/>
                <w:szCs w:val="32"/>
                <w:highlight w:val="none"/>
              </w:rPr>
            </m:ctrlPr>
          </m:e>
          <m:sub>
            <m:r>
              <m:rPr>
                <m:sty m:val="p"/>
              </m:rPr>
              <w:rPr>
                <w:rFonts w:hint="eastAsia" w:ascii="DejaVu Math TeX Gyre" w:hAnsi="DejaVu Math TeX Gyre" w:eastAsia="仿宋_GB2312" w:cs="仿宋_GB2312"/>
                <w:sz w:val="32"/>
                <w:szCs w:val="32"/>
                <w:highlight w:val="none"/>
              </w:rPr>
              <m:t>RE</m:t>
            </m:r>
            <m:ctrlPr>
              <w:rPr>
                <w:rFonts w:hint="eastAsia" w:ascii="DejaVu Math TeX Gyre" w:hAnsi="DejaVu Math TeX Gyre" w:eastAsia="仿宋_GB2312" w:cs="仿宋_GB2312"/>
                <w:sz w:val="32"/>
                <w:szCs w:val="32"/>
                <w:highlight w:val="none"/>
              </w:rPr>
            </m:ctrlPr>
          </m:sub>
        </m:sSub>
      </m:oMath>
      <w:r>
        <w:rPr>
          <w:rFonts w:hint="eastAsia" w:ascii="仿宋_GB2312" w:hAnsi="仿宋_GB2312" w:eastAsia="仿宋_GB2312" w:cs="仿宋_GB2312"/>
          <w:sz w:val="32"/>
          <w:szCs w:val="32"/>
          <w:highlight w:val="none"/>
          <w:lang w:val="en-GB"/>
        </w:rPr>
        <w:t>为</w:t>
      </w:r>
      <w:r>
        <w:rPr>
          <w:rFonts w:hint="eastAsia" w:ascii="仿宋_GB2312" w:hAnsi="仿宋_GB2312" w:eastAsia="仿宋_GB2312" w:cs="仿宋_GB2312"/>
          <w:sz w:val="32"/>
          <w:szCs w:val="32"/>
          <w:highlight w:val="none"/>
          <w:lang w:val="en-GB" w:eastAsia="zh-CN"/>
        </w:rPr>
        <w:t>以物权或项目公司股权方式持有的不动产类投资资产</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lang w:val="en-GB"/>
        </w:rPr>
        <w:t>期限，取值25年。</w:t>
      </w:r>
    </w:p>
    <w:p>
      <w:pPr>
        <w:keepNext w:val="0"/>
        <w:keepLines w:val="0"/>
        <w:pageBreakBefore w:val="0"/>
        <w:widowControl/>
        <w:kinsoku/>
        <w:wordWrap/>
        <w:overflowPunct/>
        <w:topLinePunct w:val="0"/>
        <w:autoSpaceDE/>
        <w:bidi w:val="0"/>
        <w:adjustRightInd/>
        <w:snapToGrid/>
        <w:spacing w:beforeLines="0" w:afterLines="0" w:line="440" w:lineRule="exact"/>
        <w:ind w:firstLine="640"/>
        <w:jc w:val="left"/>
        <w:textAlignment w:val="auto"/>
        <w:rPr>
          <w:highlight w:val="none"/>
        </w:rPr>
      </w:pPr>
      <w:r>
        <w:rPr>
          <w:rFonts w:hint="default" w:ascii="宋体" w:hAnsi="宋体" w:eastAsia="宋体" w:cs="宋体"/>
          <w:sz w:val="28"/>
          <w:szCs w:val="28"/>
          <w:lang w:val="en-US"/>
        </w:rPr>
        <w:drawing>
          <wp:anchor distT="0" distB="0" distL="114935" distR="114935" simplePos="0" relativeHeight="251660288" behindDoc="0" locked="0" layoutInCell="1" allowOverlap="1">
            <wp:simplePos x="0" y="0"/>
            <wp:positionH relativeFrom="column">
              <wp:posOffset>3889375</wp:posOffset>
            </wp:positionH>
            <wp:positionV relativeFrom="paragraph">
              <wp:posOffset>3276600</wp:posOffset>
            </wp:positionV>
            <wp:extent cx="1486535" cy="686435"/>
            <wp:effectExtent l="0" t="0" r="12065" b="12065"/>
            <wp:wrapNone/>
            <wp:docPr id="1" name="图片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arCode"/>
                    <pic:cNvPicPr>
                      <a:picLocks noChangeAspect="1"/>
                    </pic:cNvPicPr>
                  </pic:nvPicPr>
                  <pic:blipFill>
                    <a:blip r:embed="rId5"/>
                    <a:stretch>
                      <a:fillRect/>
                    </a:stretch>
                  </pic:blipFill>
                  <pic:spPr>
                    <a:xfrm>
                      <a:off x="0" y="0"/>
                      <a:ext cx="1486535" cy="686435"/>
                    </a:xfrm>
                    <a:prstGeom prst="rect">
                      <a:avLst/>
                    </a:prstGeom>
                  </pic:spPr>
                </pic:pic>
              </a:graphicData>
            </a:graphic>
          </wp:anchor>
        </w:drawing>
      </w:r>
    </w:p>
    <w:p>
      <w:pPr>
        <w:pStyle w:val="2"/>
        <w:spacing w:line="60" w:lineRule="exact"/>
        <w:ind w:firstLine="0" w:firstLineChars="0"/>
        <w:jc w:val="both"/>
      </w:pPr>
    </w:p>
    <w:p>
      <w:pPr>
        <w:pStyle w:val="2"/>
      </w:pPr>
    </w:p>
    <w:sectPr>
      <w:footerReference r:id="rId3" w:type="default"/>
      <w:pgSz w:w="11906" w:h="16838"/>
      <w:pgMar w:top="1967" w:right="1474" w:bottom="1899"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MS Mincho">
    <w:altName w:val="Yu Gothic UI"/>
    <w:panose1 w:val="02020609040205080304"/>
    <w:charset w:val="80"/>
    <w:family w:val="auto"/>
    <w:pitch w:val="default"/>
    <w:sig w:usb0="00000000" w:usb1="00000000" w:usb2="00000012" w:usb3="00000000" w:csb0="4002009F" w:csb1="DFD7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keepNext w:val="0"/>
                            <w:keepLines w:val="0"/>
                            <w:pageBreakBefore w:val="0"/>
                            <w:widowControl w:val="0"/>
                            <w:kinsoku/>
                            <w:wordWrap/>
                            <w:overflowPunct w:val="0"/>
                            <w:topLinePunct w:val="0"/>
                            <w:autoSpaceDE w:val="0"/>
                            <w:autoSpaceDN w:val="0"/>
                            <w:bidi w:val="0"/>
                            <w:adjustRightInd w:val="0"/>
                            <w:snapToGrid/>
                            <w:spacing w:line="471" w:lineRule="auto"/>
                            <w:ind w:left="0" w:leftChars="0"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59264;mso-width-relative:page;mso-height-relative:page;" filled="f" stroked="f" coordsize="21600,21600" o:gfxdata="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5hK0+0wAAAAgBAAAPAAAAAAAAAAEAIAAAACIAAABkcnMvZG93bnJl&#10;di54bWxQSwECFAAUAAAACACHTuJABG+QoMkBAACZAwAADgAAAAAAAAABACAAAAAiAQAAZHJzL2Uy&#10;b0RvYy54bWxQSwUGAAAAAAYABgBZAQAAXQUAAAAA&#10;">
              <v:fill on="f" focussize="0,0"/>
              <v:stroke on="f"/>
              <v:imagedata o:title=""/>
              <o:lock v:ext="edit" aspectratio="f"/>
              <v:textbox inset="0mm,0mm,0mm,0mm" style="mso-fit-shape-to-text:t;">
                <w:txbxContent>
                  <w:p>
                    <w:pPr>
                      <w:pStyle w:val="3"/>
                      <w:keepNext w:val="0"/>
                      <w:keepLines w:val="0"/>
                      <w:pageBreakBefore w:val="0"/>
                      <w:widowControl w:val="0"/>
                      <w:kinsoku/>
                      <w:wordWrap/>
                      <w:overflowPunct w:val="0"/>
                      <w:topLinePunct w:val="0"/>
                      <w:autoSpaceDE w:val="0"/>
                      <w:autoSpaceDN w:val="0"/>
                      <w:bidi w:val="0"/>
                      <w:adjustRightInd w:val="0"/>
                      <w:snapToGrid/>
                      <w:spacing w:line="471" w:lineRule="auto"/>
                      <w:ind w:left="0" w:leftChars="0"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97421"/>
    <w:rsid w:val="14CD122B"/>
    <w:rsid w:val="1CC17298"/>
    <w:rsid w:val="385A3398"/>
    <w:rsid w:val="44DB2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0" w:line="560" w:lineRule="exact"/>
      <w:ind w:left="0" w:leftChars="0" w:firstLine="420" w:firstLineChars="200"/>
      <w:jc w:val="both"/>
    </w:pPr>
    <w:rPr>
      <w:rFonts w:ascii="Times New Roman" w:hAnsi="Times New Roman" w:eastAsia="宋体" w:cs="仿宋_GB2312"/>
      <w:kern w:val="2"/>
      <w:sz w:val="28"/>
      <w:szCs w:val="28"/>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styleId="9">
    <w:name w:val="List Paragraph"/>
    <w:basedOn w:val="1"/>
    <w:qFormat/>
    <w:uiPriority w:val="34"/>
    <w:pPr>
      <w:ind w:firstLine="420"/>
    </w:pPr>
  </w:style>
  <w:style w:type="paragraph" w:customStyle="1" w:styleId="10">
    <w:name w:val="Default"/>
    <w:qFormat/>
    <w:uiPriority w:val="0"/>
    <w:pPr>
      <w:autoSpaceDE w:val="0"/>
      <w:autoSpaceDN w:val="0"/>
      <w:adjustRightInd w:val="0"/>
      <w:ind w:firstLine="200" w:firstLineChars="200"/>
      <w:jc w:val="both"/>
    </w:pPr>
    <w:rPr>
      <w:rFonts w:ascii="宋体" w:eastAsia="宋体" w:cs="宋体" w:hAnsiTheme="minorHAnsi"/>
      <w:color w:val="000000"/>
      <w:kern w:val="2"/>
      <w:sz w:val="24"/>
      <w:szCs w:val="24"/>
      <w:lang w:val="en-GB"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6022</Words>
  <Characters>6100</Characters>
  <Lines>0</Lines>
  <Paragraphs>0</Paragraphs>
  <TotalTime>4</TotalTime>
  <ScaleCrop>false</ScaleCrop>
  <LinksUpToDate>false</LinksUpToDate>
  <CharactersWithSpaces>6102</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2026-08-28T01:23:00Z</dcterms:created>
  <dc:creator>creanylee</dc:creator>
  <cp:lastModifiedBy>zwcaib</cp:lastModifiedBy>
  <dcterms:modified xsi:type="dcterms:W3CDTF">2026-08-28T09:38:33Z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KSOTemplateDocerSaveRecord">
    <vt:lpwstr>eyJoZGlkIjoiN2YzNjBkOTgyNWQ1YTMxYzM3MzMwNWFiODNmOWIzYWMiLCJ1c2VySWQiOiIzNDM4OTEyNTAifQ==</vt:lpwstr>
  </property>
  <property fmtid="{D5CDD505-2E9C-101B-9397-08002B2CF9AE}" pid="4" name="ICV">
    <vt:lpwstr>19273B35B2004EA48AD6A734696F79EB</vt:lpwstr>
  </property>
</Properties>
</file>