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CDA2D9">
      <w:pPr>
        <w:pStyle w:val="2"/>
        <w:numPr>
          <w:ilvl w:val="0"/>
          <w:numId w:val="1"/>
        </w:numPr>
        <w:tabs>
          <w:tab w:val="left" w:pos="0"/>
        </w:tabs>
        <w:spacing w:line="579" w:lineRule="exact"/>
        <w:ind w:left="0" w:firstLine="0" w:firstLineChars="0"/>
        <w:rPr>
          <w:rFonts w:hint="eastAsia" w:ascii="宋体" w:hAnsi="宋体" w:eastAsia="宋体" w:cs="宋体"/>
          <w:bCs/>
        </w:rPr>
      </w:pPr>
      <w:r>
        <w:rPr>
          <w:rFonts w:hint="eastAsia" w:ascii="宋体" w:hAnsi="宋体" w:eastAsia="宋体" w:cs="宋体"/>
          <w:bCs/>
        </w:rPr>
        <w:t>评分标准</w:t>
      </w:r>
    </w:p>
    <w:p w14:paraId="2078F284">
      <w:pPr>
        <w:numPr>
          <w:ilvl w:val="255"/>
          <w:numId w:val="0"/>
        </w:numPr>
        <w:adjustRightInd w:val="0"/>
        <w:snapToGrid w:val="0"/>
        <w:spacing w:line="579" w:lineRule="exact"/>
        <w:ind w:firstLine="560" w:firstLineChars="200"/>
        <w:jc w:val="left"/>
        <w:rPr>
          <w:rFonts w:hint="eastAsia" w:ascii="宋体" w:hAnsi="宋体" w:eastAsia="宋体" w:cs="宋体"/>
          <w:sz w:val="28"/>
          <w:szCs w:val="32"/>
        </w:rPr>
      </w:pPr>
      <w:r>
        <w:rPr>
          <w:rFonts w:hint="eastAsia" w:ascii="宋体" w:hAnsi="宋体" w:eastAsia="宋体" w:cs="宋体"/>
          <w:sz w:val="28"/>
          <w:szCs w:val="32"/>
        </w:rPr>
        <w:t>本次采购采用综合评分法，总分为100分，其中商务部分30分（占比30%），技</w:t>
      </w:r>
      <w:bookmarkStart w:id="0" w:name="_GoBack"/>
      <w:bookmarkEnd w:id="0"/>
      <w:r>
        <w:rPr>
          <w:rFonts w:hint="eastAsia" w:ascii="宋体" w:hAnsi="宋体" w:eastAsia="宋体" w:cs="宋体"/>
          <w:sz w:val="28"/>
          <w:szCs w:val="32"/>
        </w:rPr>
        <w:t>术部分60分（占比60%），价格部分10分（占比10%）。评分标准如下：</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2"/>
        <w:gridCol w:w="850"/>
        <w:gridCol w:w="5324"/>
      </w:tblGrid>
      <w:tr w14:paraId="7B23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1DA6BEF8">
            <w:pPr>
              <w:pStyle w:val="7"/>
              <w:spacing w:after="0"/>
              <w:jc w:val="center"/>
              <w:rPr>
                <w:rFonts w:hint="eastAsia" w:ascii="宋体" w:hAnsi="宋体" w:eastAsia="宋体" w:cs="宋体"/>
                <w:b/>
                <w:sz w:val="24"/>
              </w:rPr>
            </w:pPr>
            <w:r>
              <w:rPr>
                <w:rFonts w:hint="eastAsia" w:ascii="宋体" w:hAnsi="宋体" w:eastAsia="宋体" w:cs="宋体"/>
                <w:b/>
                <w:sz w:val="24"/>
              </w:rPr>
              <w:t>评审因素</w:t>
            </w:r>
          </w:p>
        </w:tc>
        <w:tc>
          <w:tcPr>
            <w:tcW w:w="850" w:type="dxa"/>
          </w:tcPr>
          <w:p w14:paraId="2647B5BD">
            <w:pPr>
              <w:pStyle w:val="7"/>
              <w:spacing w:after="0"/>
              <w:jc w:val="center"/>
              <w:rPr>
                <w:rFonts w:hint="eastAsia" w:ascii="宋体" w:hAnsi="宋体" w:eastAsia="宋体" w:cs="宋体"/>
                <w:b/>
                <w:sz w:val="24"/>
              </w:rPr>
            </w:pPr>
            <w:r>
              <w:rPr>
                <w:rFonts w:hint="eastAsia" w:ascii="宋体" w:hAnsi="宋体" w:eastAsia="宋体" w:cs="宋体"/>
                <w:b/>
                <w:sz w:val="24"/>
              </w:rPr>
              <w:t>分值</w:t>
            </w:r>
          </w:p>
        </w:tc>
        <w:tc>
          <w:tcPr>
            <w:tcW w:w="5324" w:type="dxa"/>
          </w:tcPr>
          <w:p w14:paraId="47AFDE50">
            <w:pPr>
              <w:pStyle w:val="7"/>
              <w:spacing w:after="0"/>
              <w:jc w:val="center"/>
              <w:rPr>
                <w:rFonts w:hint="eastAsia" w:ascii="宋体" w:hAnsi="宋体" w:eastAsia="宋体" w:cs="宋体"/>
                <w:b/>
                <w:sz w:val="24"/>
              </w:rPr>
            </w:pPr>
            <w:r>
              <w:rPr>
                <w:rFonts w:hint="eastAsia" w:ascii="宋体" w:hAnsi="宋体" w:eastAsia="宋体" w:cs="宋体"/>
                <w:b/>
                <w:sz w:val="24"/>
              </w:rPr>
              <w:t>评分标准</w:t>
            </w:r>
          </w:p>
        </w:tc>
      </w:tr>
      <w:tr w14:paraId="3CA2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772413F1">
            <w:pPr>
              <w:pStyle w:val="7"/>
              <w:spacing w:after="0"/>
              <w:rPr>
                <w:rFonts w:hint="eastAsia" w:ascii="宋体" w:hAnsi="宋体" w:eastAsia="宋体" w:cs="宋体"/>
                <w:b/>
                <w:sz w:val="24"/>
              </w:rPr>
            </w:pPr>
            <w:r>
              <w:rPr>
                <w:rFonts w:hint="eastAsia" w:ascii="宋体" w:hAnsi="宋体" w:eastAsia="宋体" w:cs="宋体"/>
                <w:b/>
                <w:sz w:val="24"/>
              </w:rPr>
              <w:t>一、商务部分（30分）</w:t>
            </w:r>
          </w:p>
        </w:tc>
      </w:tr>
      <w:tr w14:paraId="12832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1716A7A3">
            <w:pPr>
              <w:pStyle w:val="7"/>
              <w:spacing w:after="0"/>
              <w:rPr>
                <w:rFonts w:hint="eastAsia" w:ascii="宋体" w:hAnsi="宋体" w:eastAsia="宋体" w:cs="宋体"/>
                <w:sz w:val="24"/>
              </w:rPr>
            </w:pPr>
            <w:r>
              <w:rPr>
                <w:rFonts w:hint="eastAsia" w:ascii="宋体" w:hAnsi="宋体" w:eastAsia="宋体" w:cs="宋体"/>
                <w:sz w:val="24"/>
              </w:rPr>
              <w:t>同类项目业绩</w:t>
            </w:r>
          </w:p>
        </w:tc>
        <w:tc>
          <w:tcPr>
            <w:tcW w:w="850" w:type="dxa"/>
          </w:tcPr>
          <w:p w14:paraId="2BEE9669">
            <w:pPr>
              <w:pStyle w:val="7"/>
              <w:spacing w:after="0"/>
              <w:jc w:val="center"/>
              <w:rPr>
                <w:rFonts w:hint="eastAsia" w:ascii="宋体" w:hAnsi="宋体" w:eastAsia="宋体" w:cs="宋体"/>
                <w:sz w:val="24"/>
              </w:rPr>
            </w:pPr>
            <w:r>
              <w:rPr>
                <w:rFonts w:hint="eastAsia" w:ascii="宋体" w:hAnsi="宋体" w:eastAsia="宋体" w:cs="宋体"/>
                <w:sz w:val="24"/>
              </w:rPr>
              <w:t>15</w:t>
            </w:r>
          </w:p>
        </w:tc>
        <w:tc>
          <w:tcPr>
            <w:tcW w:w="5324" w:type="dxa"/>
          </w:tcPr>
          <w:p w14:paraId="6ADE8ABA">
            <w:pPr>
              <w:pStyle w:val="7"/>
              <w:spacing w:after="0"/>
              <w:rPr>
                <w:rFonts w:hint="eastAsia" w:ascii="宋体" w:hAnsi="宋体" w:eastAsia="宋体" w:cs="宋体"/>
                <w:sz w:val="24"/>
              </w:rPr>
            </w:pPr>
            <w:r>
              <w:rPr>
                <w:rFonts w:hint="eastAsia" w:ascii="宋体" w:hAnsi="宋体" w:eastAsia="宋体" w:cs="宋体"/>
                <w:sz w:val="24"/>
              </w:rPr>
              <w:t>根据</w:t>
            </w:r>
            <w:r>
              <w:rPr>
                <w:rFonts w:hint="eastAsia" w:ascii="宋体" w:hAnsi="宋体" w:eastAsia="宋体" w:cs="宋体"/>
                <w:sz w:val="24"/>
                <w:lang w:val="en-US" w:eastAsia="zh-CN"/>
              </w:rPr>
              <w:t>供应商</w:t>
            </w:r>
            <w:r>
              <w:rPr>
                <w:rFonts w:hint="eastAsia" w:ascii="宋体" w:hAnsi="宋体" w:eastAsia="宋体" w:cs="宋体"/>
                <w:sz w:val="24"/>
                <w:lang w:val="en-US" w:eastAsia="zh-TW"/>
              </w:rPr>
              <w:t>2023年1月1月后</w:t>
            </w:r>
            <w:r>
              <w:rPr>
                <w:rFonts w:hint="eastAsia" w:ascii="宋体" w:hAnsi="宋体" w:eastAsia="宋体" w:cs="宋体"/>
                <w:sz w:val="24"/>
              </w:rPr>
              <w:t>承担的同类型（信息化平台系统运维，或者信息系统建设服务相关的内容）的情况进行评分，每提供一份有效业绩得3分，本项满分15分。</w:t>
            </w:r>
          </w:p>
          <w:p w14:paraId="14BAF391">
            <w:pPr>
              <w:pStyle w:val="7"/>
              <w:spacing w:after="0"/>
              <w:rPr>
                <w:rFonts w:hint="eastAsia" w:ascii="宋体" w:hAnsi="宋体" w:eastAsia="宋体" w:cs="宋体"/>
                <w:sz w:val="24"/>
              </w:rPr>
            </w:pPr>
            <w:r>
              <w:rPr>
                <w:rFonts w:hint="eastAsia" w:ascii="宋体" w:hAnsi="宋体" w:eastAsia="宋体" w:cs="宋体"/>
                <w:sz w:val="24"/>
              </w:rPr>
              <w:t>注：</w:t>
            </w:r>
            <w:r>
              <w:rPr>
                <w:rFonts w:hint="eastAsia" w:ascii="宋体" w:hAnsi="宋体" w:eastAsia="宋体" w:cs="宋体"/>
                <w:sz w:val="24"/>
                <w:lang w:val="en-US" w:eastAsia="zh-CN"/>
              </w:rPr>
              <w:t>响应</w:t>
            </w:r>
            <w:r>
              <w:rPr>
                <w:rFonts w:hint="eastAsia" w:ascii="宋体" w:hAnsi="宋体" w:eastAsia="宋体" w:cs="宋体"/>
                <w:sz w:val="24"/>
              </w:rPr>
              <w:t>文件中须提供项目合同全件复印件，或者合同关键页复印件（合同关键页应当体现合同当事人名称（甲乙双方名称，其中任意一方名称应当与</w:t>
            </w:r>
            <w:r>
              <w:rPr>
                <w:rFonts w:hint="eastAsia" w:ascii="宋体" w:hAnsi="宋体" w:eastAsia="宋体" w:cs="宋体"/>
                <w:sz w:val="24"/>
                <w:lang w:val="en-US" w:eastAsia="zh-CN"/>
              </w:rPr>
              <w:t>供应商</w:t>
            </w:r>
            <w:r>
              <w:rPr>
                <w:rFonts w:hint="eastAsia" w:ascii="宋体" w:hAnsi="宋体" w:eastAsia="宋体" w:cs="宋体"/>
                <w:sz w:val="24"/>
              </w:rPr>
              <w:t>一致）、合同内容、合同签章处及合同签订时间等关键信息）以上复印件均需加盖</w:t>
            </w:r>
            <w:r>
              <w:rPr>
                <w:rFonts w:hint="eastAsia" w:ascii="宋体" w:hAnsi="宋体" w:eastAsia="宋体" w:cs="宋体"/>
                <w:sz w:val="24"/>
                <w:lang w:val="en-US" w:eastAsia="zh-CN"/>
              </w:rPr>
              <w:t>供应商</w:t>
            </w:r>
            <w:r>
              <w:rPr>
                <w:rFonts w:hint="eastAsia" w:ascii="宋体" w:hAnsi="宋体" w:eastAsia="宋体" w:cs="宋体"/>
                <w:sz w:val="24"/>
              </w:rPr>
              <w:t>公章，未提供或提供的资料不符合要求的则不得分。</w:t>
            </w:r>
          </w:p>
        </w:tc>
      </w:tr>
      <w:tr w14:paraId="2C96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86E6D21">
            <w:pPr>
              <w:pStyle w:val="7"/>
              <w:spacing w:after="0"/>
              <w:rPr>
                <w:rFonts w:hint="eastAsia" w:ascii="宋体" w:hAnsi="宋体" w:eastAsia="宋体" w:cs="宋体"/>
                <w:sz w:val="24"/>
              </w:rPr>
            </w:pPr>
            <w:r>
              <w:rPr>
                <w:rFonts w:hint="eastAsia" w:ascii="宋体" w:hAnsi="宋体" w:eastAsia="宋体" w:cs="宋体"/>
                <w:sz w:val="24"/>
              </w:rPr>
              <w:t>企业综合实力</w:t>
            </w:r>
          </w:p>
        </w:tc>
        <w:tc>
          <w:tcPr>
            <w:tcW w:w="850" w:type="dxa"/>
          </w:tcPr>
          <w:p w14:paraId="261EF2D8">
            <w:pPr>
              <w:pStyle w:val="7"/>
              <w:spacing w:after="0"/>
              <w:jc w:val="center"/>
              <w:rPr>
                <w:rFonts w:hint="eastAsia" w:ascii="宋体" w:hAnsi="宋体" w:eastAsia="宋体" w:cs="宋体"/>
                <w:sz w:val="24"/>
              </w:rPr>
            </w:pPr>
            <w:r>
              <w:rPr>
                <w:rFonts w:hint="eastAsia" w:ascii="宋体" w:hAnsi="宋体" w:eastAsia="宋体" w:cs="宋体"/>
                <w:sz w:val="24"/>
              </w:rPr>
              <w:t>9</w:t>
            </w:r>
          </w:p>
        </w:tc>
        <w:tc>
          <w:tcPr>
            <w:tcW w:w="5324" w:type="dxa"/>
          </w:tcPr>
          <w:p w14:paraId="14F01BC2">
            <w:pPr>
              <w:pStyle w:val="7"/>
              <w:spacing w:after="0"/>
              <w:rPr>
                <w:rFonts w:hint="eastAsia" w:ascii="宋体" w:hAnsi="宋体" w:eastAsia="宋体" w:cs="宋体"/>
                <w:sz w:val="24"/>
              </w:rPr>
            </w:pPr>
            <w:r>
              <w:rPr>
                <w:rFonts w:hint="eastAsia" w:ascii="宋体" w:hAnsi="宋体" w:eastAsia="宋体" w:cs="宋体"/>
                <w:sz w:val="24"/>
              </w:rPr>
              <w:t>根据</w:t>
            </w:r>
            <w:r>
              <w:rPr>
                <w:rFonts w:hint="eastAsia" w:ascii="宋体" w:hAnsi="宋体" w:eastAsia="宋体" w:cs="宋体"/>
                <w:sz w:val="24"/>
                <w:lang w:val="en-US" w:eastAsia="zh-CN"/>
              </w:rPr>
              <w:t>供应商</w:t>
            </w:r>
            <w:r>
              <w:rPr>
                <w:rFonts w:hint="eastAsia" w:ascii="宋体" w:hAnsi="宋体" w:eastAsia="宋体" w:cs="宋体"/>
                <w:sz w:val="24"/>
              </w:rPr>
              <w:t>具有有效期内且未被暂停的服务能力证书进行评分，本项满分</w:t>
            </w:r>
            <w:r>
              <w:rPr>
                <w:rFonts w:hint="eastAsia" w:ascii="宋体" w:hAnsi="宋体" w:eastAsia="宋体" w:cs="宋体"/>
                <w:sz w:val="24"/>
                <w:lang w:val="en-US" w:eastAsia="zh-CN"/>
              </w:rPr>
              <w:t>9</w:t>
            </w:r>
            <w:r>
              <w:rPr>
                <w:rFonts w:hint="eastAsia" w:ascii="宋体" w:hAnsi="宋体" w:eastAsia="宋体" w:cs="宋体"/>
                <w:sz w:val="24"/>
              </w:rPr>
              <w:t>分。</w:t>
            </w:r>
          </w:p>
          <w:p w14:paraId="535A2965">
            <w:pPr>
              <w:pStyle w:val="7"/>
              <w:numPr>
                <w:ilvl w:val="0"/>
                <w:numId w:val="2"/>
              </w:numPr>
              <w:spacing w:after="0"/>
              <w:rPr>
                <w:rFonts w:hint="eastAsia" w:ascii="宋体" w:hAnsi="宋体" w:eastAsia="宋体" w:cs="宋体"/>
                <w:sz w:val="24"/>
              </w:rPr>
            </w:pPr>
            <w:r>
              <w:rPr>
                <w:rFonts w:hint="eastAsia" w:ascii="宋体" w:hAnsi="宋体" w:eastAsia="宋体" w:cs="宋体"/>
                <w:sz w:val="24"/>
              </w:rPr>
              <w:t>具有国家认可委员会（CNAS）认证的信息安全管理体系认证证书得3分；</w:t>
            </w:r>
          </w:p>
          <w:p w14:paraId="32005B0B">
            <w:pPr>
              <w:pStyle w:val="7"/>
              <w:numPr>
                <w:ilvl w:val="0"/>
                <w:numId w:val="2"/>
              </w:numPr>
              <w:spacing w:after="0"/>
              <w:rPr>
                <w:rFonts w:hint="eastAsia" w:ascii="宋体" w:hAnsi="宋体" w:eastAsia="宋体" w:cs="宋体"/>
                <w:sz w:val="24"/>
              </w:rPr>
            </w:pPr>
            <w:r>
              <w:rPr>
                <w:rFonts w:hint="eastAsia" w:ascii="宋体" w:hAnsi="宋体" w:eastAsia="宋体" w:cs="宋体"/>
                <w:sz w:val="24"/>
              </w:rPr>
              <w:t>具有国家认可委员会（CNAS）认证的质量管理体系认证证书得3分；</w:t>
            </w:r>
          </w:p>
          <w:p w14:paraId="3110AC25">
            <w:pPr>
              <w:pStyle w:val="7"/>
              <w:numPr>
                <w:ilvl w:val="0"/>
                <w:numId w:val="2"/>
              </w:numPr>
              <w:spacing w:after="0"/>
              <w:rPr>
                <w:rFonts w:hint="eastAsia" w:ascii="宋体" w:hAnsi="宋体" w:eastAsia="宋体" w:cs="宋体"/>
                <w:sz w:val="24"/>
              </w:rPr>
            </w:pPr>
            <w:r>
              <w:rPr>
                <w:rFonts w:hint="eastAsia" w:ascii="宋体" w:hAnsi="宋体" w:eastAsia="宋体" w:cs="宋体"/>
                <w:sz w:val="24"/>
              </w:rPr>
              <w:t>具有CMMI3级及以上证书得3分。</w:t>
            </w:r>
          </w:p>
          <w:p w14:paraId="083EBC8B">
            <w:pPr>
              <w:pStyle w:val="7"/>
              <w:numPr>
                <w:ilvl w:val="-1"/>
                <w:numId w:val="0"/>
              </w:numPr>
              <w:spacing w:after="0"/>
              <w:ind w:left="0" w:firstLine="0"/>
              <w:rPr>
                <w:rFonts w:hint="eastAsia" w:ascii="宋体" w:hAnsi="宋体" w:eastAsia="宋体" w:cs="宋体"/>
                <w:sz w:val="24"/>
                <w:lang w:val="en-US" w:eastAsia="zh-CN"/>
              </w:rPr>
            </w:pPr>
            <w:r>
              <w:rPr>
                <w:rFonts w:hint="eastAsia" w:ascii="宋体" w:hAnsi="宋体" w:eastAsia="宋体" w:cs="宋体"/>
                <w:sz w:val="24"/>
                <w:lang w:val="en-US" w:eastAsia="zh-CN"/>
              </w:rPr>
              <w:t>注：响应文件中须提供证书复印件并加盖供应商公章，未提供</w:t>
            </w:r>
            <w:r>
              <w:rPr>
                <w:rFonts w:hint="eastAsia" w:ascii="宋体" w:hAnsi="宋体" w:eastAsia="宋体" w:cs="宋体"/>
                <w:sz w:val="24"/>
              </w:rPr>
              <w:t>或提供的资料不符合要求的则不得分。</w:t>
            </w:r>
          </w:p>
        </w:tc>
      </w:tr>
      <w:tr w14:paraId="34B5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5415EC9A">
            <w:pPr>
              <w:pStyle w:val="7"/>
              <w:spacing w:after="0"/>
              <w:rPr>
                <w:rFonts w:hint="eastAsia" w:ascii="宋体" w:hAnsi="宋体" w:eastAsia="宋体" w:cs="宋体"/>
                <w:sz w:val="24"/>
              </w:rPr>
            </w:pPr>
            <w:r>
              <w:rPr>
                <w:rFonts w:hint="eastAsia" w:ascii="宋体" w:hAnsi="宋体" w:eastAsia="宋体" w:cs="宋体"/>
                <w:sz w:val="24"/>
              </w:rPr>
              <w:t>项目服务团队</w:t>
            </w:r>
          </w:p>
        </w:tc>
        <w:tc>
          <w:tcPr>
            <w:tcW w:w="850" w:type="dxa"/>
          </w:tcPr>
          <w:p w14:paraId="05F21DB4">
            <w:pPr>
              <w:pStyle w:val="7"/>
              <w:spacing w:after="0"/>
              <w:jc w:val="center"/>
              <w:rPr>
                <w:rFonts w:hint="eastAsia" w:ascii="宋体" w:hAnsi="宋体" w:eastAsia="宋体" w:cs="宋体"/>
                <w:sz w:val="24"/>
              </w:rPr>
            </w:pPr>
            <w:r>
              <w:rPr>
                <w:rFonts w:hint="eastAsia" w:ascii="宋体" w:hAnsi="宋体" w:eastAsia="宋体" w:cs="宋体"/>
                <w:sz w:val="24"/>
              </w:rPr>
              <w:t>6</w:t>
            </w:r>
          </w:p>
        </w:tc>
        <w:tc>
          <w:tcPr>
            <w:tcW w:w="5324" w:type="dxa"/>
          </w:tcPr>
          <w:p w14:paraId="2DD6E435">
            <w:pPr>
              <w:pStyle w:val="7"/>
              <w:spacing w:after="0"/>
              <w:rPr>
                <w:rFonts w:hint="eastAsia" w:ascii="宋体" w:hAnsi="宋体" w:eastAsia="宋体" w:cs="宋体"/>
                <w:sz w:val="24"/>
              </w:rPr>
            </w:pPr>
            <w:r>
              <w:rPr>
                <w:rFonts w:hint="eastAsia" w:ascii="宋体" w:hAnsi="宋体" w:eastAsia="宋体" w:cs="宋体"/>
                <w:sz w:val="24"/>
              </w:rPr>
              <w:t>根据</w:t>
            </w:r>
            <w:r>
              <w:rPr>
                <w:rFonts w:hint="eastAsia" w:ascii="宋体" w:hAnsi="宋体" w:eastAsia="宋体" w:cs="宋体"/>
                <w:sz w:val="24"/>
                <w:lang w:val="en-US" w:eastAsia="zh-CN"/>
              </w:rPr>
              <w:t>供应商</w:t>
            </w:r>
            <w:r>
              <w:rPr>
                <w:rFonts w:hint="eastAsia" w:ascii="宋体" w:hAnsi="宋体" w:eastAsia="宋体" w:cs="宋体"/>
                <w:sz w:val="24"/>
              </w:rPr>
              <w:t>拟投入项目经理及项目运维人员资质情况进行评分，项目经理及项目运维人员具有以下任一证书的，每人得3分，其他不得分，本项满分6分。</w:t>
            </w:r>
          </w:p>
          <w:p w14:paraId="5F420FD9">
            <w:pPr>
              <w:pStyle w:val="7"/>
              <w:numPr>
                <w:ilvl w:val="0"/>
                <w:numId w:val="3"/>
              </w:numPr>
              <w:spacing w:after="0"/>
              <w:rPr>
                <w:rFonts w:hint="eastAsia" w:ascii="宋体" w:hAnsi="宋体" w:eastAsia="宋体" w:cs="宋体"/>
                <w:sz w:val="24"/>
              </w:rPr>
            </w:pPr>
            <w:r>
              <w:rPr>
                <w:rFonts w:hint="eastAsia" w:ascii="宋体" w:hAnsi="宋体" w:eastAsia="宋体" w:cs="宋体"/>
                <w:sz w:val="24"/>
              </w:rPr>
              <w:t>PMP证书。</w:t>
            </w:r>
          </w:p>
          <w:p w14:paraId="2406589D">
            <w:pPr>
              <w:pStyle w:val="7"/>
              <w:numPr>
                <w:ilvl w:val="0"/>
                <w:numId w:val="3"/>
              </w:numPr>
              <w:spacing w:after="0"/>
              <w:rPr>
                <w:rFonts w:hint="eastAsia" w:ascii="宋体" w:hAnsi="宋体" w:eastAsia="宋体" w:cs="宋体"/>
                <w:sz w:val="24"/>
              </w:rPr>
            </w:pPr>
            <w:r>
              <w:rPr>
                <w:rFonts w:hint="eastAsia" w:ascii="宋体" w:hAnsi="宋体" w:eastAsia="宋体" w:cs="宋体"/>
                <w:sz w:val="24"/>
              </w:rPr>
              <w:t>全国计算机技术与软件专业技术资格软件设计师证书。</w:t>
            </w:r>
          </w:p>
          <w:p w14:paraId="1D6B90CA">
            <w:pPr>
              <w:pStyle w:val="7"/>
              <w:numPr>
                <w:ilvl w:val="0"/>
                <w:numId w:val="3"/>
              </w:numPr>
              <w:spacing w:after="0"/>
              <w:rPr>
                <w:rFonts w:hint="eastAsia" w:ascii="宋体" w:hAnsi="宋体" w:eastAsia="宋体" w:cs="宋体"/>
                <w:sz w:val="24"/>
              </w:rPr>
            </w:pPr>
            <w:r>
              <w:rPr>
                <w:rFonts w:hint="eastAsia" w:ascii="宋体" w:hAnsi="宋体" w:eastAsia="宋体" w:cs="宋体"/>
                <w:sz w:val="24"/>
              </w:rPr>
              <w:t>全国计算机技术与软件专业技术资格数据库系统工程师证书。</w:t>
            </w:r>
          </w:p>
          <w:p w14:paraId="3B77BED2">
            <w:pPr>
              <w:pStyle w:val="7"/>
              <w:numPr>
                <w:ilvl w:val="0"/>
                <w:numId w:val="3"/>
              </w:numPr>
              <w:spacing w:after="0"/>
              <w:rPr>
                <w:rFonts w:hint="eastAsia" w:ascii="宋体" w:hAnsi="宋体" w:eastAsia="宋体" w:cs="宋体"/>
                <w:sz w:val="24"/>
              </w:rPr>
            </w:pPr>
            <w:r>
              <w:rPr>
                <w:rFonts w:hint="eastAsia" w:ascii="宋体" w:hAnsi="宋体" w:eastAsia="宋体" w:cs="宋体"/>
                <w:sz w:val="24"/>
              </w:rPr>
              <w:t>全国计算机技术与软件专业技术资格网络工程师证书。</w:t>
            </w:r>
          </w:p>
          <w:p w14:paraId="6E1BD0D2">
            <w:pPr>
              <w:pStyle w:val="7"/>
              <w:numPr>
                <w:ilvl w:val="0"/>
                <w:numId w:val="3"/>
              </w:numPr>
              <w:spacing w:after="0"/>
              <w:rPr>
                <w:rFonts w:hint="eastAsia" w:ascii="宋体" w:hAnsi="宋体" w:eastAsia="宋体" w:cs="宋体"/>
                <w:sz w:val="24"/>
              </w:rPr>
            </w:pPr>
            <w:r>
              <w:rPr>
                <w:rFonts w:hint="eastAsia" w:ascii="宋体" w:hAnsi="宋体" w:eastAsia="宋体" w:cs="宋体"/>
                <w:sz w:val="24"/>
              </w:rPr>
              <w:t>全国计算机技术与软件专业技术资格信息安全工程师证书。</w:t>
            </w:r>
          </w:p>
          <w:p w14:paraId="65E38156">
            <w:pPr>
              <w:pStyle w:val="7"/>
              <w:numPr>
                <w:ilvl w:val="0"/>
                <w:numId w:val="3"/>
              </w:numPr>
              <w:spacing w:after="0"/>
              <w:rPr>
                <w:rFonts w:hint="eastAsia" w:ascii="宋体" w:hAnsi="宋体" w:eastAsia="宋体" w:cs="宋体"/>
                <w:sz w:val="24"/>
              </w:rPr>
            </w:pPr>
            <w:r>
              <w:rPr>
                <w:rFonts w:hint="eastAsia" w:ascii="宋体" w:hAnsi="宋体" w:eastAsia="宋体" w:cs="宋体"/>
                <w:sz w:val="24"/>
              </w:rPr>
              <w:t>或者计算机相关专业中级或以上职称证书的。</w:t>
            </w:r>
          </w:p>
          <w:p w14:paraId="68A66A60">
            <w:pPr>
              <w:pStyle w:val="7"/>
              <w:numPr>
                <w:ilvl w:val="-1"/>
                <w:numId w:val="0"/>
              </w:numPr>
              <w:spacing w:after="0"/>
              <w:ind w:left="0" w:firstLine="0"/>
              <w:rPr>
                <w:rFonts w:hint="eastAsia" w:ascii="宋体" w:hAnsi="宋体" w:eastAsia="宋体" w:cs="宋体"/>
                <w:sz w:val="24"/>
                <w:lang w:val="en-US" w:eastAsia="zh-CN"/>
              </w:rPr>
            </w:pPr>
            <w:r>
              <w:rPr>
                <w:rFonts w:hint="eastAsia" w:ascii="宋体" w:hAnsi="宋体" w:eastAsia="宋体" w:cs="宋体"/>
                <w:sz w:val="24"/>
                <w:lang w:val="en-US" w:eastAsia="zh-CN"/>
              </w:rPr>
              <w:t>注：（1）响应文件中提供相应证明文件及以上拟派人员隶属供应商的社保证明复印件并加盖供应商公章；（2）社保要求：①时间要求：响应截止之日当月或上个月社保证明，供应商或其下属分公司缴纳的社保证明材料均可；②社保证明须加盖主管部门业务章；③退休人员提供退休证明及聘请合同相关证明；④法定无需缴纳社保的提供相应证明材料；（3）若供应商提交汇总式社保证明材料，须在社保证明对应位置，对本项目拟投入人员作出清晰标注，便于评审人员核查评审，未按要求标注导致评审无法核对人员社保信息的，相关人员社保不予认定。</w:t>
            </w:r>
          </w:p>
        </w:tc>
      </w:tr>
      <w:tr w14:paraId="6904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57BD7A09">
            <w:pPr>
              <w:pStyle w:val="7"/>
              <w:spacing w:after="0"/>
              <w:rPr>
                <w:rFonts w:hint="eastAsia" w:ascii="宋体" w:hAnsi="宋体" w:eastAsia="宋体" w:cs="宋体"/>
                <w:b/>
                <w:sz w:val="24"/>
              </w:rPr>
            </w:pPr>
            <w:r>
              <w:rPr>
                <w:rFonts w:hint="eastAsia" w:ascii="宋体" w:hAnsi="宋体" w:eastAsia="宋体" w:cs="宋体"/>
                <w:b/>
                <w:sz w:val="24"/>
              </w:rPr>
              <w:t>二、技术部分（60分）</w:t>
            </w:r>
          </w:p>
        </w:tc>
      </w:tr>
      <w:tr w14:paraId="296D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4335813F">
            <w:pPr>
              <w:pStyle w:val="7"/>
              <w:spacing w:after="0"/>
              <w:rPr>
                <w:rFonts w:hint="eastAsia" w:ascii="宋体" w:hAnsi="宋体" w:eastAsia="宋体" w:cs="宋体"/>
                <w:sz w:val="24"/>
              </w:rPr>
            </w:pPr>
            <w:r>
              <w:rPr>
                <w:rFonts w:hint="eastAsia" w:ascii="宋体" w:hAnsi="宋体" w:eastAsia="宋体" w:cs="宋体"/>
                <w:sz w:val="24"/>
                <w:lang w:eastAsia="zh-TW"/>
              </w:rPr>
              <w:t>对项目（琴城易）的理解</w:t>
            </w:r>
          </w:p>
        </w:tc>
        <w:tc>
          <w:tcPr>
            <w:tcW w:w="850" w:type="dxa"/>
          </w:tcPr>
          <w:p w14:paraId="7BED9CC5">
            <w:pPr>
              <w:pStyle w:val="7"/>
              <w:spacing w:after="0"/>
              <w:jc w:val="center"/>
              <w:rPr>
                <w:rFonts w:hint="eastAsia" w:ascii="宋体" w:hAnsi="宋体" w:eastAsia="宋体" w:cs="宋体"/>
                <w:sz w:val="24"/>
              </w:rPr>
            </w:pPr>
            <w:r>
              <w:rPr>
                <w:rFonts w:hint="eastAsia" w:ascii="宋体" w:hAnsi="宋体" w:eastAsia="宋体" w:cs="宋体"/>
                <w:sz w:val="24"/>
              </w:rPr>
              <w:t>15</w:t>
            </w:r>
          </w:p>
        </w:tc>
        <w:tc>
          <w:tcPr>
            <w:tcW w:w="5324" w:type="dxa"/>
          </w:tcPr>
          <w:p w14:paraId="5890599B">
            <w:pPr>
              <w:rPr>
                <w:rFonts w:hint="eastAsia" w:ascii="宋体" w:hAnsi="宋体" w:eastAsia="宋体" w:cs="宋体"/>
                <w:sz w:val="24"/>
                <w:szCs w:val="24"/>
              </w:rPr>
            </w:pPr>
            <w:r>
              <w:rPr>
                <w:rFonts w:hint="eastAsia" w:ascii="宋体" w:hAnsi="宋体" w:eastAsia="宋体" w:cs="宋体"/>
                <w:sz w:val="24"/>
                <w:szCs w:val="24"/>
              </w:rPr>
              <w:t>根据</w:t>
            </w:r>
            <w:r>
              <w:rPr>
                <w:rFonts w:hint="eastAsia" w:ascii="宋体" w:hAnsi="宋体" w:eastAsia="宋体" w:cs="宋体"/>
                <w:sz w:val="24"/>
                <w:lang w:val="en-US" w:eastAsia="zh-CN"/>
              </w:rPr>
              <w:t>供应商</w:t>
            </w:r>
            <w:r>
              <w:rPr>
                <w:rFonts w:hint="eastAsia" w:ascii="宋体" w:hAnsi="宋体" w:eastAsia="宋体" w:cs="宋体"/>
                <w:sz w:val="24"/>
                <w:szCs w:val="24"/>
                <w:lang w:eastAsia="zh-CN"/>
              </w:rPr>
              <w:t>结合</w:t>
            </w:r>
            <w:r>
              <w:rPr>
                <w:rFonts w:hint="eastAsia" w:ascii="宋体" w:hAnsi="宋体" w:eastAsia="宋体" w:cs="宋体"/>
                <w:sz w:val="24"/>
                <w:szCs w:val="24"/>
              </w:rPr>
              <w:t>《需求书》中相关要求提供的</w:t>
            </w:r>
            <w:r>
              <w:rPr>
                <w:rFonts w:hint="eastAsia" w:ascii="宋体" w:hAnsi="宋体" w:eastAsia="宋体" w:cs="宋体"/>
                <w:b w:val="0"/>
                <w:bCs w:val="0"/>
                <w:sz w:val="24"/>
                <w:szCs w:val="24"/>
                <w:lang w:val="en-US" w:eastAsia="zh-CN"/>
              </w:rPr>
              <w:t>项目的理解与建议</w:t>
            </w:r>
            <w:r>
              <w:rPr>
                <w:rFonts w:hint="eastAsia" w:ascii="宋体" w:hAnsi="宋体" w:eastAsia="宋体" w:cs="宋体"/>
                <w:sz w:val="24"/>
                <w:szCs w:val="24"/>
              </w:rPr>
              <w:t>（包括但不限于①</w:t>
            </w:r>
            <w:r>
              <w:rPr>
                <w:rFonts w:hint="eastAsia" w:ascii="宋体" w:hAnsi="宋体" w:eastAsia="宋体" w:cs="宋体"/>
                <w:sz w:val="24"/>
                <w:szCs w:val="24"/>
                <w:lang w:eastAsia="zh-CN"/>
              </w:rPr>
              <w:t>对</w:t>
            </w:r>
            <w:r>
              <w:rPr>
                <w:rFonts w:hint="eastAsia" w:ascii="宋体" w:hAnsi="宋体" w:eastAsia="宋体" w:cs="宋体"/>
                <w:sz w:val="24"/>
                <w:szCs w:val="24"/>
                <w:lang w:val="en-US" w:eastAsia="zh-CN" w:bidi="ar-SA"/>
              </w:rPr>
              <w:t>琴城易小程序需求充分理解的基础上作出重点难点分析，并提出解决办法；②针对项目服务内容提出合理化建议；③针对项目服务内容提出项目风险评估与对策</w:t>
            </w:r>
            <w:r>
              <w:rPr>
                <w:rFonts w:hint="eastAsia" w:ascii="宋体" w:hAnsi="宋体" w:eastAsia="宋体" w:cs="宋体"/>
                <w:sz w:val="24"/>
                <w:szCs w:val="24"/>
              </w:rPr>
              <w:t>：</w:t>
            </w:r>
          </w:p>
          <w:p w14:paraId="48E247CD">
            <w:pPr>
              <w:pStyle w:val="7"/>
              <w:numPr>
                <w:ilvl w:val="0"/>
                <w:numId w:val="4"/>
              </w:numPr>
              <w:spacing w:after="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针对上述全部量化指标作出了明确的响应，分析透彻，理解清晰，内容贴合实际情况，描述非常详细，且完全满足采购需求</w:t>
            </w:r>
            <w:r>
              <w:rPr>
                <w:rFonts w:hint="eastAsia" w:ascii="宋体" w:hAnsi="宋体" w:eastAsia="宋体" w:cs="宋体"/>
                <w:sz w:val="24"/>
                <w:lang w:val="en-US" w:eastAsia="zh-CN"/>
              </w:rPr>
              <w:t>。得15分；</w:t>
            </w:r>
          </w:p>
          <w:p w14:paraId="68CE229C">
            <w:pPr>
              <w:pStyle w:val="7"/>
              <w:numPr>
                <w:ilvl w:val="0"/>
                <w:numId w:val="4"/>
              </w:numPr>
              <w:spacing w:after="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针对上述全部量化指标作出了基本的响应，分析和理解程度基本足够，描述基本清晰，基本满足采购需求</w:t>
            </w:r>
            <w:r>
              <w:rPr>
                <w:rFonts w:hint="eastAsia" w:ascii="宋体" w:hAnsi="宋体" w:eastAsia="宋体" w:cs="宋体"/>
                <w:sz w:val="24"/>
                <w:lang w:val="en-US" w:eastAsia="zh-CN"/>
              </w:rPr>
              <w:t>。得10分；</w:t>
            </w:r>
          </w:p>
          <w:p w14:paraId="70BB2153">
            <w:pPr>
              <w:pStyle w:val="7"/>
              <w:numPr>
                <w:ilvl w:val="0"/>
                <w:numId w:val="4"/>
              </w:numPr>
              <w:spacing w:after="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针对上述全部量化指标作出了响应，分析和理解程度不够深入，描述不够详细，内容不够贴合</w:t>
            </w:r>
            <w:r>
              <w:rPr>
                <w:rFonts w:hint="eastAsia" w:ascii="宋体" w:hAnsi="宋体" w:eastAsia="宋体" w:cs="宋体"/>
                <w:sz w:val="24"/>
                <w:lang w:val="en-US" w:eastAsia="zh-CN"/>
              </w:rPr>
              <w:t>。得5分。</w:t>
            </w:r>
          </w:p>
          <w:p w14:paraId="788C9D71">
            <w:pPr>
              <w:pStyle w:val="24"/>
              <w:spacing w:line="360" w:lineRule="auto"/>
              <w:jc w:val="left"/>
              <w:rPr>
                <w:rFonts w:hint="eastAsia" w:ascii="宋体" w:hAnsi="宋体" w:eastAsia="宋体" w:cs="宋体"/>
                <w:sz w:val="24"/>
                <w:lang w:val="en-US" w:eastAsia="zh-CN"/>
              </w:rPr>
            </w:pPr>
            <w:r>
              <w:rPr>
                <w:rFonts w:hint="eastAsia" w:ascii="宋体" w:hAnsi="宋体" w:eastAsia="宋体" w:cs="宋体"/>
                <w:sz w:val="24"/>
                <w:lang w:val="en-US" w:eastAsia="zh-CN"/>
              </w:rPr>
              <w:t>未完全响应上述全部量化指标的，此项不得分。</w:t>
            </w:r>
          </w:p>
        </w:tc>
      </w:tr>
      <w:tr w14:paraId="43B98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252647F5">
            <w:pPr>
              <w:pStyle w:val="7"/>
              <w:spacing w:after="0"/>
              <w:rPr>
                <w:rFonts w:hint="eastAsia" w:ascii="宋体" w:hAnsi="宋体" w:eastAsia="宋体" w:cs="宋体"/>
                <w:sz w:val="24"/>
              </w:rPr>
            </w:pPr>
            <w:r>
              <w:rPr>
                <w:rFonts w:hint="eastAsia" w:ascii="宋体" w:hAnsi="宋体" w:eastAsia="宋体" w:cs="宋体"/>
                <w:sz w:val="24"/>
              </w:rPr>
              <w:t>运维</w:t>
            </w:r>
            <w:r>
              <w:rPr>
                <w:rFonts w:hint="eastAsia" w:ascii="宋体" w:hAnsi="宋体" w:eastAsia="宋体" w:cs="宋体"/>
                <w:sz w:val="24"/>
                <w:lang w:eastAsia="zh-TW"/>
              </w:rPr>
              <w:t>技术</w:t>
            </w:r>
            <w:r>
              <w:rPr>
                <w:rFonts w:hint="eastAsia" w:ascii="宋体" w:hAnsi="宋体" w:eastAsia="宋体" w:cs="宋体"/>
                <w:sz w:val="24"/>
              </w:rPr>
              <w:t>方案</w:t>
            </w:r>
          </w:p>
        </w:tc>
        <w:tc>
          <w:tcPr>
            <w:tcW w:w="850" w:type="dxa"/>
          </w:tcPr>
          <w:p w14:paraId="066BBBAC">
            <w:pPr>
              <w:pStyle w:val="7"/>
              <w:spacing w:after="0"/>
              <w:jc w:val="center"/>
              <w:rPr>
                <w:rFonts w:hint="eastAsia" w:ascii="宋体" w:hAnsi="宋体" w:eastAsia="宋体" w:cs="宋体"/>
                <w:sz w:val="24"/>
              </w:rPr>
            </w:pPr>
            <w:r>
              <w:rPr>
                <w:rFonts w:hint="eastAsia" w:ascii="宋体" w:hAnsi="宋体" w:eastAsia="宋体" w:cs="宋体"/>
                <w:sz w:val="24"/>
              </w:rPr>
              <w:t>20</w:t>
            </w:r>
          </w:p>
        </w:tc>
        <w:tc>
          <w:tcPr>
            <w:tcW w:w="5324" w:type="dxa"/>
          </w:tcPr>
          <w:p w14:paraId="1257683C">
            <w:pPr>
              <w:widowControl/>
            </w:pPr>
            <w:r>
              <w:rPr>
                <w:rFonts w:hint="eastAsia" w:ascii="宋体" w:hAnsi="宋体" w:eastAsia="宋体" w:cs="宋体"/>
                <w:sz w:val="24"/>
                <w:szCs w:val="24"/>
              </w:rPr>
              <w:t>根据</w:t>
            </w:r>
            <w:r>
              <w:rPr>
                <w:rFonts w:hint="eastAsia" w:ascii="宋体" w:hAnsi="宋体" w:eastAsia="宋体" w:cs="宋体"/>
                <w:sz w:val="24"/>
                <w:lang w:val="en-US" w:eastAsia="zh-CN"/>
              </w:rPr>
              <w:t>供应商</w:t>
            </w:r>
            <w:r>
              <w:rPr>
                <w:rFonts w:hint="eastAsia" w:ascii="宋体" w:hAnsi="宋体" w:eastAsia="宋体" w:cs="宋体"/>
                <w:sz w:val="24"/>
                <w:szCs w:val="24"/>
                <w:lang w:eastAsia="zh-CN"/>
              </w:rPr>
              <w:t>结合</w:t>
            </w:r>
            <w:r>
              <w:rPr>
                <w:rFonts w:hint="eastAsia" w:ascii="宋体" w:hAnsi="宋体" w:eastAsia="宋体" w:cs="宋体"/>
                <w:sz w:val="24"/>
                <w:szCs w:val="24"/>
              </w:rPr>
              <w:t>《</w:t>
            </w:r>
            <w:r>
              <w:rPr>
                <w:rFonts w:hint="eastAsia" w:ascii="宋体" w:hAnsi="宋体" w:eastAsia="宋体" w:cs="宋体"/>
                <w:sz w:val="24"/>
                <w:szCs w:val="24"/>
                <w:lang w:eastAsia="zh-CN"/>
              </w:rPr>
              <w:t>项目</w:t>
            </w:r>
            <w:r>
              <w:rPr>
                <w:rFonts w:hint="eastAsia" w:ascii="宋体" w:hAnsi="宋体" w:eastAsia="宋体" w:cs="宋体"/>
                <w:sz w:val="24"/>
                <w:szCs w:val="24"/>
              </w:rPr>
              <w:t>需求书》中相关要求提供的</w:t>
            </w:r>
            <w:r>
              <w:rPr>
                <w:rFonts w:hint="eastAsia" w:ascii="宋体" w:hAnsi="宋体" w:eastAsia="宋体" w:cs="宋体"/>
                <w:sz w:val="24"/>
                <w:szCs w:val="24"/>
                <w:lang w:val="en-US" w:eastAsia="zh-CN"/>
              </w:rPr>
              <w:t>项目服务方案</w:t>
            </w:r>
            <w:r>
              <w:rPr>
                <w:rFonts w:hint="eastAsia" w:ascii="宋体" w:hAnsi="宋体" w:eastAsia="宋体" w:cs="宋体"/>
                <w:sz w:val="24"/>
                <w:szCs w:val="24"/>
              </w:rPr>
              <w:t>（包括但不限于①代码维护服务；②小程序发布服务；③系统备份管理；④系统安全性检查；⑤软件运行状态检查；⑥后台应用系统维护；⑦系统日常维护功能迭代与用户体验优化；⑧系统运行情况通报；⑨系统安全检查及修复；⑩其他运维服务</w:t>
            </w:r>
            <w:r>
              <w:rPr>
                <w:rFonts w:hint="eastAsia" w:ascii="宋体" w:hAnsi="宋体" w:eastAsia="宋体" w:cs="宋体"/>
                <w:sz w:val="24"/>
                <w:szCs w:val="24"/>
                <w:lang w:val="en-US" w:eastAsia="zh-CN" w:bidi="ar-SA"/>
              </w:rPr>
              <w:t>等</w:t>
            </w:r>
            <w:r>
              <w:rPr>
                <w:rFonts w:hint="eastAsia" w:ascii="宋体" w:hAnsi="宋体" w:eastAsia="宋体" w:cs="宋体"/>
                <w:sz w:val="24"/>
                <w:szCs w:val="24"/>
                <w:lang w:val="en-US" w:eastAsia="zh-CN"/>
              </w:rPr>
              <w:t>量化指标的响应内容</w:t>
            </w:r>
            <w:r>
              <w:rPr>
                <w:rFonts w:hint="eastAsia" w:ascii="宋体" w:hAnsi="宋体" w:eastAsia="宋体" w:cs="宋体"/>
                <w:sz w:val="24"/>
                <w:szCs w:val="24"/>
              </w:rPr>
              <w:t>）进行综合评审：</w:t>
            </w:r>
          </w:p>
          <w:p w14:paraId="59C2DE17">
            <w:pPr>
              <w:pStyle w:val="7"/>
              <w:numPr>
                <w:ilvl w:val="0"/>
                <w:numId w:val="5"/>
              </w:numPr>
              <w:spacing w:after="0"/>
              <w:rPr>
                <w:rFonts w:hint="eastAsia" w:ascii="宋体" w:hAnsi="宋体" w:eastAsia="宋体" w:cs="宋体"/>
                <w:sz w:val="24"/>
                <w:lang w:val="en-US" w:eastAsia="zh-CN"/>
              </w:rPr>
            </w:pPr>
            <w:r>
              <w:rPr>
                <w:rFonts w:hint="eastAsia" w:ascii="宋体" w:hAnsi="宋体" w:eastAsia="宋体" w:cs="宋体"/>
                <w:sz w:val="24"/>
                <w:lang w:val="en-US" w:eastAsia="zh-CN"/>
              </w:rPr>
              <w:t>针对上述全部量化指标作出了详细的响应，能够完全满足量化指标所对应的采购需求，方案内容非常详细，进度安排非常合理，各项措施非常完善，贴合项目实际情况，方案可行高，完全满足且优于采购需求。得20分；</w:t>
            </w:r>
          </w:p>
          <w:p w14:paraId="57BCEF95">
            <w:pPr>
              <w:pStyle w:val="7"/>
              <w:numPr>
                <w:ilvl w:val="0"/>
                <w:numId w:val="5"/>
              </w:numPr>
              <w:spacing w:after="0"/>
              <w:rPr>
                <w:rFonts w:hint="eastAsia" w:ascii="宋体" w:hAnsi="宋体" w:eastAsia="宋体" w:cs="宋体"/>
                <w:sz w:val="24"/>
                <w:lang w:val="en-US" w:eastAsia="zh-CN"/>
              </w:rPr>
            </w:pPr>
            <w:r>
              <w:rPr>
                <w:rFonts w:hint="eastAsia" w:ascii="宋体" w:hAnsi="宋体" w:eastAsia="宋体" w:cs="宋体"/>
                <w:sz w:val="24"/>
                <w:lang w:val="en-US" w:eastAsia="zh-CN"/>
              </w:rPr>
              <w:t>针对上述全部量化指标作出了明确的响应，能够满足量化指标所对应的采购需求，方案内容完整，进度安排合理，各项措施完善，贴合项目实际情况，方案有可行性，满足采购需求。得15分；</w:t>
            </w:r>
          </w:p>
          <w:p w14:paraId="56B4F14F">
            <w:pPr>
              <w:pStyle w:val="7"/>
              <w:numPr>
                <w:ilvl w:val="0"/>
                <w:numId w:val="5"/>
              </w:numPr>
              <w:spacing w:after="0"/>
              <w:rPr>
                <w:rFonts w:hint="eastAsia" w:ascii="宋体" w:hAnsi="宋体" w:eastAsia="宋体" w:cs="宋体"/>
                <w:sz w:val="24"/>
                <w:lang w:val="en-US" w:eastAsia="zh-CN"/>
              </w:rPr>
            </w:pPr>
            <w:r>
              <w:rPr>
                <w:rFonts w:hint="eastAsia" w:ascii="宋体" w:hAnsi="宋体" w:eastAsia="宋体" w:cs="宋体"/>
                <w:sz w:val="24"/>
                <w:lang w:val="en-US" w:eastAsia="zh-CN"/>
              </w:rPr>
              <w:t>针对上述全部量化指标作出了基本的响应，能够基本满足量化指标所对应的采购需求，方案内容比较详细，进度安排基本合理，各项措施基本完善，方案基本可行，基本符合采购需求，但针对性不足。得</w:t>
            </w:r>
            <w:r>
              <w:rPr>
                <w:rFonts w:hint="eastAsia" w:ascii="宋体" w:hAnsi="宋体" w:eastAsia="PMingLiU" w:cs="宋体"/>
                <w:sz w:val="24"/>
                <w:lang w:val="en-US" w:eastAsia="zh-TW"/>
              </w:rPr>
              <w:t>10</w:t>
            </w:r>
            <w:r>
              <w:rPr>
                <w:rFonts w:hint="eastAsia" w:ascii="宋体" w:hAnsi="宋体" w:eastAsia="宋体" w:cs="宋体"/>
                <w:sz w:val="24"/>
                <w:lang w:val="en-US" w:eastAsia="zh-CN"/>
              </w:rPr>
              <w:t>分；</w:t>
            </w:r>
          </w:p>
          <w:p w14:paraId="54DB6631">
            <w:pPr>
              <w:pStyle w:val="7"/>
              <w:numPr>
                <w:ilvl w:val="0"/>
                <w:numId w:val="5"/>
              </w:numPr>
              <w:spacing w:after="0"/>
              <w:rPr>
                <w:rFonts w:hint="eastAsia" w:ascii="宋体" w:hAnsi="宋体" w:eastAsia="宋体" w:cs="宋体"/>
                <w:sz w:val="24"/>
                <w:lang w:val="en-US" w:eastAsia="zh-CN"/>
              </w:rPr>
            </w:pPr>
            <w:r>
              <w:rPr>
                <w:rFonts w:hint="eastAsia" w:ascii="宋体" w:hAnsi="宋体" w:eastAsia="宋体" w:cs="宋体"/>
                <w:sz w:val="24"/>
                <w:lang w:val="en-US" w:eastAsia="zh-CN"/>
              </w:rPr>
              <w:t>针对上述全部量化指标作出了简单的响应，仅部分满足量化指标所对应的采购需求，方案内容不够详细，进度安排较合理，各项措施不够完善，方案可行性不高，内容不够贴合，与采购需求存在出入。得</w:t>
            </w:r>
            <w:r>
              <w:rPr>
                <w:rFonts w:hint="eastAsia" w:ascii="宋体" w:hAnsi="宋体" w:eastAsia="PMingLiU" w:cs="宋体"/>
                <w:sz w:val="24"/>
                <w:lang w:val="en-US" w:eastAsia="zh-TW"/>
              </w:rPr>
              <w:t>5</w:t>
            </w:r>
            <w:r>
              <w:rPr>
                <w:rFonts w:hint="eastAsia" w:ascii="宋体" w:hAnsi="宋体" w:eastAsia="宋体" w:cs="宋体"/>
                <w:sz w:val="24"/>
                <w:lang w:val="en-US" w:eastAsia="zh-CN"/>
              </w:rPr>
              <w:t>分。</w:t>
            </w:r>
          </w:p>
          <w:p w14:paraId="6447DE88">
            <w:pPr>
              <w:pStyle w:val="7"/>
              <w:numPr>
                <w:ilvl w:val="-1"/>
                <w:numId w:val="0"/>
              </w:numPr>
              <w:spacing w:after="0"/>
              <w:ind w:left="0" w:firstLine="0"/>
              <w:rPr>
                <w:rFonts w:hint="eastAsia" w:ascii="宋体" w:hAnsi="宋体" w:eastAsia="宋体" w:cs="宋体"/>
                <w:sz w:val="24"/>
                <w:lang w:val="en-US" w:eastAsia="zh-CN"/>
              </w:rPr>
            </w:pPr>
            <w:r>
              <w:rPr>
                <w:rFonts w:hint="eastAsia" w:ascii="宋体" w:hAnsi="宋体" w:eastAsia="宋体" w:cs="宋体"/>
                <w:sz w:val="24"/>
                <w:lang w:val="en-US" w:eastAsia="zh-CN"/>
              </w:rPr>
              <w:t>未完全响应上述全部量化指标的，此项不得分。</w:t>
            </w:r>
          </w:p>
        </w:tc>
      </w:tr>
      <w:tr w14:paraId="2B7D1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79972F73">
            <w:pPr>
              <w:pStyle w:val="7"/>
              <w:spacing w:after="0"/>
              <w:rPr>
                <w:rFonts w:hint="eastAsia" w:ascii="宋体" w:hAnsi="宋体" w:eastAsia="宋体" w:cs="宋体"/>
                <w:sz w:val="24"/>
              </w:rPr>
            </w:pPr>
            <w:r>
              <w:rPr>
                <w:rFonts w:hint="eastAsia" w:ascii="宋体" w:hAnsi="宋体" w:eastAsia="宋体" w:cs="宋体"/>
                <w:sz w:val="24"/>
              </w:rPr>
              <w:t>服务流程与服务</w:t>
            </w:r>
            <w:r>
              <w:rPr>
                <w:rFonts w:hint="eastAsia" w:ascii="宋体" w:hAnsi="宋体" w:eastAsia="宋体" w:cs="宋体"/>
                <w:i w:val="0"/>
                <w:iCs w:val="0"/>
                <w:caps w:val="0"/>
                <w:spacing w:val="0"/>
                <w:sz w:val="24"/>
                <w:szCs w:val="24"/>
                <w:shd w:val="clear"/>
              </w:rPr>
              <w:t>等级</w:t>
            </w:r>
            <w:r>
              <w:rPr>
                <w:rFonts w:hint="eastAsia" w:ascii="宋体" w:hAnsi="宋体" w:eastAsia="宋体" w:cs="宋体"/>
                <w:sz w:val="24"/>
              </w:rPr>
              <w:t>保障</w:t>
            </w:r>
          </w:p>
        </w:tc>
        <w:tc>
          <w:tcPr>
            <w:tcW w:w="850" w:type="dxa"/>
          </w:tcPr>
          <w:p w14:paraId="47DF6FA1">
            <w:pPr>
              <w:pStyle w:val="7"/>
              <w:spacing w:after="0"/>
              <w:jc w:val="center"/>
              <w:rPr>
                <w:rFonts w:hint="eastAsia" w:ascii="宋体" w:hAnsi="宋体" w:eastAsia="宋体" w:cs="宋体"/>
                <w:sz w:val="24"/>
              </w:rPr>
            </w:pPr>
            <w:r>
              <w:rPr>
                <w:rFonts w:hint="eastAsia" w:ascii="宋体" w:hAnsi="宋体" w:eastAsia="宋体" w:cs="宋体"/>
                <w:sz w:val="24"/>
              </w:rPr>
              <w:t>15</w:t>
            </w:r>
          </w:p>
        </w:tc>
        <w:tc>
          <w:tcPr>
            <w:tcW w:w="5324" w:type="dxa"/>
          </w:tcPr>
          <w:p w14:paraId="0E15F7B3">
            <w:pPr>
              <w:widowControl/>
              <w:rPr>
                <w:rFonts w:hint="eastAsia" w:ascii="宋体" w:hAnsi="宋体" w:eastAsia="宋体" w:cs="宋体"/>
                <w:sz w:val="24"/>
              </w:rPr>
            </w:pPr>
            <w:r>
              <w:rPr>
                <w:rFonts w:hint="eastAsia" w:ascii="宋体" w:hAnsi="宋体" w:eastAsia="宋体" w:cs="宋体"/>
                <w:sz w:val="24"/>
              </w:rPr>
              <w:t>根据运维服务流程规范性、响应时效、故障分级处理机制及文档交付能力综合评分。</w:t>
            </w:r>
          </w:p>
          <w:p w14:paraId="0D08B478">
            <w:pPr>
              <w:pStyle w:val="18"/>
              <w:widowControl/>
              <w:numPr>
                <w:ilvl w:val="0"/>
                <w:numId w:val="6"/>
              </w:numPr>
              <w:ind w:firstLineChars="0"/>
              <w:rPr>
                <w:rFonts w:hint="eastAsia" w:ascii="宋体" w:hAnsi="宋体" w:eastAsia="宋体" w:cs="宋体"/>
                <w:sz w:val="24"/>
              </w:rPr>
            </w:pPr>
            <w:r>
              <w:rPr>
                <w:rFonts w:hint="eastAsia" w:ascii="宋体" w:hAnsi="宋体" w:eastAsia="宋体" w:cs="宋体"/>
                <w:sz w:val="24"/>
              </w:rPr>
              <w:t>服务流程闭环、服务</w:t>
            </w:r>
            <w:r>
              <w:rPr>
                <w:rFonts w:hint="eastAsia" w:ascii="宋体" w:hAnsi="宋体" w:eastAsia="宋体" w:cs="宋体"/>
                <w:i w:val="0"/>
                <w:iCs w:val="0"/>
                <w:caps w:val="0"/>
                <w:spacing w:val="0"/>
                <w:sz w:val="24"/>
                <w:szCs w:val="24"/>
                <w:shd w:val="clear"/>
              </w:rPr>
              <w:t>等级</w:t>
            </w:r>
            <w:r>
              <w:rPr>
                <w:rFonts w:hint="eastAsia" w:ascii="宋体" w:hAnsi="宋体" w:eastAsia="宋体" w:cs="宋体"/>
                <w:sz w:val="24"/>
              </w:rPr>
              <w:t>指标明确且不低于基本要求得15分；</w:t>
            </w:r>
          </w:p>
          <w:p w14:paraId="0B5F4714">
            <w:pPr>
              <w:pStyle w:val="18"/>
              <w:widowControl/>
              <w:numPr>
                <w:ilvl w:val="0"/>
                <w:numId w:val="6"/>
              </w:numPr>
              <w:ind w:firstLineChars="0"/>
              <w:rPr>
                <w:rFonts w:hint="eastAsia" w:ascii="宋体" w:hAnsi="宋体" w:eastAsia="宋体" w:cs="宋体"/>
                <w:sz w:val="24"/>
              </w:rPr>
            </w:pPr>
            <w:r>
              <w:rPr>
                <w:rFonts w:hint="eastAsia" w:ascii="宋体" w:hAnsi="宋体" w:eastAsia="宋体" w:cs="宋体"/>
                <w:sz w:val="24"/>
              </w:rPr>
              <w:t>服务流程基本完整、服务</w:t>
            </w:r>
            <w:r>
              <w:rPr>
                <w:rFonts w:hint="eastAsia" w:ascii="宋体" w:hAnsi="宋体" w:eastAsia="宋体" w:cs="宋体"/>
                <w:i w:val="0"/>
                <w:iCs w:val="0"/>
                <w:caps w:val="0"/>
                <w:spacing w:val="0"/>
                <w:sz w:val="24"/>
                <w:szCs w:val="24"/>
                <w:shd w:val="clear"/>
              </w:rPr>
              <w:t>等级</w:t>
            </w:r>
            <w:r>
              <w:rPr>
                <w:rFonts w:hint="eastAsia" w:ascii="宋体" w:hAnsi="宋体" w:eastAsia="宋体" w:cs="宋体"/>
                <w:sz w:val="24"/>
              </w:rPr>
              <w:t>指标基本达标得10分；</w:t>
            </w:r>
          </w:p>
          <w:p w14:paraId="5D1D2C77">
            <w:pPr>
              <w:pStyle w:val="18"/>
              <w:widowControl/>
              <w:numPr>
                <w:ilvl w:val="0"/>
                <w:numId w:val="6"/>
              </w:numPr>
              <w:ind w:firstLineChars="0"/>
              <w:rPr>
                <w:rFonts w:hint="eastAsia" w:ascii="宋体" w:hAnsi="宋体" w:eastAsia="宋体" w:cs="宋体"/>
                <w:sz w:val="24"/>
              </w:rPr>
            </w:pPr>
            <w:r>
              <w:rPr>
                <w:rFonts w:hint="eastAsia" w:ascii="宋体" w:hAnsi="宋体" w:eastAsia="宋体" w:cs="宋体"/>
                <w:sz w:val="24"/>
              </w:rPr>
              <w:t>服务机制不健全或缺乏量化指标得5分</w:t>
            </w:r>
            <w:r>
              <w:rPr>
                <w:rFonts w:hint="eastAsia" w:ascii="宋体" w:hAnsi="宋体" w:eastAsia="宋体" w:cs="宋体"/>
                <w:sz w:val="24"/>
                <w:lang w:eastAsia="zh-CN"/>
              </w:rPr>
              <w:t>。</w:t>
            </w:r>
          </w:p>
          <w:p w14:paraId="516301A1">
            <w:pPr>
              <w:pStyle w:val="18"/>
              <w:widowControl/>
              <w:numPr>
                <w:ilvl w:val="-1"/>
                <w:numId w:val="0"/>
              </w:numPr>
              <w:ind w:left="0" w:firstLine="0" w:firstLineChars="0"/>
              <w:rPr>
                <w:rFonts w:hint="eastAsia" w:ascii="宋体" w:hAnsi="宋体" w:eastAsia="宋体" w:cs="宋体"/>
                <w:sz w:val="24"/>
                <w:lang w:val="en-US"/>
              </w:rPr>
            </w:pPr>
            <w:r>
              <w:rPr>
                <w:rFonts w:hint="eastAsia" w:ascii="宋体" w:hAnsi="宋体" w:eastAsia="宋体" w:cs="宋体"/>
                <w:sz w:val="24"/>
                <w:lang w:val="en-US" w:eastAsia="zh-CN"/>
              </w:rPr>
              <w:t>未提供相关服务流程方案的，此项不得分。</w:t>
            </w:r>
          </w:p>
        </w:tc>
      </w:tr>
      <w:tr w14:paraId="1CB9D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0D1969CF">
            <w:pPr>
              <w:pStyle w:val="7"/>
              <w:spacing w:after="0"/>
              <w:rPr>
                <w:rFonts w:hint="eastAsia" w:ascii="宋体" w:hAnsi="宋体" w:eastAsia="宋体" w:cs="宋体"/>
                <w:sz w:val="24"/>
              </w:rPr>
            </w:pPr>
            <w:r>
              <w:rPr>
                <w:rFonts w:hint="eastAsia" w:ascii="宋体" w:hAnsi="宋体" w:eastAsia="宋体" w:cs="宋体"/>
                <w:sz w:val="24"/>
              </w:rPr>
              <w:t>人员与组织实施</w:t>
            </w:r>
          </w:p>
        </w:tc>
        <w:tc>
          <w:tcPr>
            <w:tcW w:w="850" w:type="dxa"/>
          </w:tcPr>
          <w:p w14:paraId="3623A200">
            <w:pPr>
              <w:pStyle w:val="7"/>
              <w:spacing w:after="0"/>
              <w:jc w:val="center"/>
              <w:rPr>
                <w:rFonts w:hint="eastAsia" w:ascii="宋体" w:hAnsi="宋体" w:eastAsia="宋体" w:cs="宋体"/>
                <w:sz w:val="24"/>
              </w:rPr>
            </w:pPr>
            <w:r>
              <w:rPr>
                <w:rFonts w:hint="eastAsia" w:ascii="宋体" w:hAnsi="宋体" w:eastAsia="宋体" w:cs="宋体"/>
                <w:sz w:val="24"/>
              </w:rPr>
              <w:t>10</w:t>
            </w:r>
          </w:p>
        </w:tc>
        <w:tc>
          <w:tcPr>
            <w:tcW w:w="5324" w:type="dxa"/>
          </w:tcPr>
          <w:p w14:paraId="74DBA237">
            <w:pPr>
              <w:pStyle w:val="7"/>
              <w:spacing w:after="0"/>
              <w:rPr>
                <w:rFonts w:hint="eastAsia" w:ascii="宋体" w:hAnsi="宋体" w:eastAsia="宋体" w:cs="宋体"/>
                <w:sz w:val="24"/>
              </w:rPr>
            </w:pPr>
            <w:r>
              <w:rPr>
                <w:rFonts w:hint="eastAsia" w:ascii="宋体" w:hAnsi="宋体" w:eastAsia="宋体" w:cs="宋体"/>
                <w:sz w:val="24"/>
              </w:rPr>
              <w:t>根据项目团队配置、人员资质、经验及本地化支撑能力综合评分。</w:t>
            </w:r>
          </w:p>
          <w:p w14:paraId="1A7EC4F1">
            <w:pPr>
              <w:pStyle w:val="7"/>
              <w:numPr>
                <w:ilvl w:val="0"/>
                <w:numId w:val="7"/>
              </w:numPr>
              <w:spacing w:after="0"/>
              <w:rPr>
                <w:rFonts w:hint="eastAsia" w:ascii="宋体" w:hAnsi="宋体" w:eastAsia="宋体" w:cs="宋体"/>
                <w:sz w:val="24"/>
              </w:rPr>
            </w:pPr>
            <w:r>
              <w:rPr>
                <w:rFonts w:hint="eastAsia" w:ascii="宋体" w:hAnsi="宋体" w:eastAsia="宋体" w:cs="宋体"/>
                <w:sz w:val="24"/>
              </w:rPr>
              <w:t>团队结构合理、核心人员经验丰富、本地化保障能力强得10分；</w:t>
            </w:r>
          </w:p>
          <w:p w14:paraId="01B5F2E1">
            <w:pPr>
              <w:pStyle w:val="7"/>
              <w:numPr>
                <w:ilvl w:val="0"/>
                <w:numId w:val="7"/>
              </w:numPr>
              <w:spacing w:after="0"/>
              <w:rPr>
                <w:rFonts w:hint="eastAsia" w:ascii="宋体" w:hAnsi="宋体" w:eastAsia="宋体" w:cs="宋体"/>
                <w:sz w:val="24"/>
              </w:rPr>
            </w:pPr>
            <w:r>
              <w:rPr>
                <w:rFonts w:hint="eastAsia" w:ascii="宋体" w:hAnsi="宋体" w:eastAsia="宋体" w:cs="宋体"/>
                <w:sz w:val="24"/>
              </w:rPr>
              <w:t>人员配置基本满足要求得7分；</w:t>
            </w:r>
          </w:p>
          <w:p w14:paraId="4536F243">
            <w:pPr>
              <w:pStyle w:val="7"/>
              <w:numPr>
                <w:ilvl w:val="0"/>
                <w:numId w:val="7"/>
              </w:numPr>
              <w:spacing w:after="0"/>
              <w:rPr>
                <w:rFonts w:hint="eastAsia" w:ascii="宋体" w:hAnsi="宋体" w:eastAsia="宋体" w:cs="宋体"/>
                <w:sz w:val="24"/>
              </w:rPr>
            </w:pPr>
            <w:r>
              <w:rPr>
                <w:rFonts w:hint="eastAsia" w:ascii="宋体" w:hAnsi="宋体" w:eastAsia="宋体" w:cs="宋体"/>
                <w:sz w:val="24"/>
              </w:rPr>
              <w:t>团队配置薄弱或关键岗位缺失得3分。</w:t>
            </w:r>
          </w:p>
        </w:tc>
      </w:tr>
      <w:tr w14:paraId="09344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3"/>
          </w:tcPr>
          <w:p w14:paraId="22C39644">
            <w:pPr>
              <w:pStyle w:val="7"/>
              <w:spacing w:after="0"/>
              <w:rPr>
                <w:rFonts w:hint="eastAsia" w:ascii="宋体" w:hAnsi="宋体" w:eastAsia="宋体" w:cs="宋体"/>
                <w:b/>
                <w:sz w:val="24"/>
              </w:rPr>
            </w:pPr>
            <w:r>
              <w:rPr>
                <w:rFonts w:hint="eastAsia" w:ascii="宋体" w:hAnsi="宋体" w:eastAsia="宋体" w:cs="宋体"/>
                <w:b/>
                <w:sz w:val="24"/>
              </w:rPr>
              <w:t>三、价格部分（10分）</w:t>
            </w:r>
          </w:p>
        </w:tc>
      </w:tr>
      <w:tr w14:paraId="2934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2" w:type="dxa"/>
          </w:tcPr>
          <w:p w14:paraId="1D167953">
            <w:pPr>
              <w:pStyle w:val="7"/>
              <w:spacing w:after="0"/>
              <w:rPr>
                <w:rFonts w:hint="eastAsia" w:ascii="宋体" w:hAnsi="宋体" w:eastAsia="宋体" w:cs="宋体"/>
                <w:sz w:val="24"/>
              </w:rPr>
            </w:pPr>
            <w:r>
              <w:rPr>
                <w:rFonts w:hint="eastAsia" w:ascii="宋体" w:hAnsi="宋体" w:eastAsia="宋体" w:cs="宋体"/>
                <w:sz w:val="24"/>
              </w:rPr>
              <w:t>投标报价</w:t>
            </w:r>
          </w:p>
        </w:tc>
        <w:tc>
          <w:tcPr>
            <w:tcW w:w="850" w:type="dxa"/>
          </w:tcPr>
          <w:p w14:paraId="501B724D">
            <w:pPr>
              <w:pStyle w:val="7"/>
              <w:spacing w:after="0"/>
              <w:jc w:val="center"/>
              <w:rPr>
                <w:rFonts w:hint="eastAsia" w:ascii="宋体" w:hAnsi="宋体" w:eastAsia="宋体" w:cs="宋体"/>
                <w:sz w:val="24"/>
              </w:rPr>
            </w:pPr>
            <w:r>
              <w:rPr>
                <w:rFonts w:hint="eastAsia" w:ascii="宋体" w:hAnsi="宋体" w:eastAsia="宋体" w:cs="宋体"/>
                <w:sz w:val="24"/>
              </w:rPr>
              <w:t>10</w:t>
            </w:r>
          </w:p>
        </w:tc>
        <w:tc>
          <w:tcPr>
            <w:tcW w:w="5324" w:type="dxa"/>
          </w:tcPr>
          <w:p w14:paraId="3B0E195A">
            <w:pPr>
              <w:pStyle w:val="7"/>
              <w:numPr>
                <w:ilvl w:val="0"/>
                <w:numId w:val="8"/>
              </w:numPr>
              <w:spacing w:after="0"/>
              <w:rPr>
                <w:rFonts w:hint="eastAsia" w:ascii="宋体" w:hAnsi="宋体" w:eastAsia="宋体" w:cs="宋体"/>
                <w:sz w:val="24"/>
              </w:rPr>
            </w:pPr>
            <w:r>
              <w:rPr>
                <w:rFonts w:hint="eastAsia" w:ascii="宋体" w:hAnsi="宋体" w:eastAsia="宋体" w:cs="宋体"/>
                <w:sz w:val="24"/>
                <w:szCs w:val="24"/>
              </w:rPr>
              <w:t>以满足</w:t>
            </w:r>
            <w:r>
              <w:rPr>
                <w:rFonts w:hint="eastAsia" w:ascii="宋体" w:hAnsi="宋体" w:eastAsia="宋体" w:cs="宋体"/>
                <w:sz w:val="24"/>
                <w:szCs w:val="24"/>
                <w:lang w:val="en-US" w:eastAsia="zh-CN"/>
              </w:rPr>
              <w:t>采购</w:t>
            </w:r>
            <w:r>
              <w:rPr>
                <w:rFonts w:hint="eastAsia" w:ascii="宋体" w:hAnsi="宋体" w:eastAsia="宋体" w:cs="宋体"/>
                <w:sz w:val="24"/>
                <w:szCs w:val="24"/>
              </w:rPr>
              <w:t>文件要求且未超过采购预算的最低有效</w:t>
            </w:r>
            <w:r>
              <w:rPr>
                <w:rFonts w:hint="eastAsia" w:ascii="宋体" w:hAnsi="宋体" w:eastAsia="宋体" w:cs="宋体"/>
                <w:sz w:val="24"/>
                <w:szCs w:val="24"/>
                <w:lang w:val="en-US" w:eastAsia="zh-CN"/>
              </w:rPr>
              <w:t>响应</w:t>
            </w:r>
            <w:r>
              <w:rPr>
                <w:rFonts w:hint="eastAsia" w:ascii="宋体" w:hAnsi="宋体" w:eastAsia="宋体" w:cs="宋体"/>
                <w:sz w:val="24"/>
                <w:szCs w:val="24"/>
              </w:rPr>
              <w:t>报价，作为评标基准价。</w:t>
            </w:r>
          </w:p>
          <w:p w14:paraId="3AF29B01">
            <w:pPr>
              <w:pStyle w:val="7"/>
              <w:numPr>
                <w:ilvl w:val="0"/>
                <w:numId w:val="8"/>
              </w:numPr>
              <w:spacing w:after="0"/>
              <w:rPr>
                <w:rFonts w:hint="eastAsia" w:ascii="宋体" w:hAnsi="宋体" w:eastAsia="宋体" w:cs="宋体"/>
                <w:sz w:val="24"/>
              </w:rPr>
            </w:pPr>
            <w:r>
              <w:rPr>
                <w:rFonts w:hint="eastAsia" w:ascii="宋体" w:hAnsi="宋体" w:eastAsia="宋体" w:cs="宋体"/>
                <w:sz w:val="24"/>
                <w:szCs w:val="24"/>
              </w:rPr>
              <w:t>各有效</w:t>
            </w:r>
            <w:r>
              <w:rPr>
                <w:rFonts w:hint="eastAsia" w:ascii="宋体" w:hAnsi="宋体" w:eastAsia="宋体" w:cs="宋体"/>
                <w:sz w:val="24"/>
                <w:szCs w:val="24"/>
                <w:lang w:val="en-US" w:eastAsia="zh-CN"/>
              </w:rPr>
              <w:t>供应商</w:t>
            </w:r>
            <w:r>
              <w:rPr>
                <w:rFonts w:hint="eastAsia" w:ascii="宋体" w:hAnsi="宋体" w:eastAsia="宋体" w:cs="宋体"/>
                <w:sz w:val="24"/>
                <w:szCs w:val="24"/>
              </w:rPr>
              <w:t>的</w:t>
            </w:r>
            <w:r>
              <w:rPr>
                <w:rFonts w:hint="eastAsia" w:ascii="宋体" w:hAnsi="宋体" w:eastAsia="宋体" w:cs="宋体"/>
                <w:sz w:val="24"/>
                <w:szCs w:val="24"/>
                <w:lang w:val="en-US" w:eastAsia="zh-CN"/>
              </w:rPr>
              <w:t>响应</w:t>
            </w:r>
            <w:r>
              <w:rPr>
                <w:rFonts w:hint="eastAsia" w:ascii="宋体" w:hAnsi="宋体" w:eastAsia="宋体" w:cs="宋体"/>
                <w:sz w:val="24"/>
                <w:szCs w:val="24"/>
              </w:rPr>
              <w:t>报价得分，统一按以下公式计算：</w:t>
            </w:r>
            <w:r>
              <w:rPr>
                <w:rFonts w:hint="eastAsia" w:ascii="宋体" w:hAnsi="宋体" w:eastAsia="宋体" w:cs="宋体"/>
                <w:sz w:val="24"/>
                <w:szCs w:val="24"/>
                <w:lang w:val="en-US" w:eastAsia="zh-CN"/>
              </w:rPr>
              <w:t>响应</w:t>
            </w:r>
            <w:r>
              <w:rPr>
                <w:rFonts w:hint="eastAsia" w:ascii="宋体" w:hAnsi="宋体" w:eastAsia="宋体" w:cs="宋体"/>
                <w:sz w:val="24"/>
                <w:szCs w:val="24"/>
              </w:rPr>
              <w:t>报价得分=（评标基准价/评标价）×10%×100。</w:t>
            </w:r>
          </w:p>
          <w:p w14:paraId="0785DE61">
            <w:pPr>
              <w:pStyle w:val="7"/>
              <w:numPr>
                <w:ilvl w:val="0"/>
                <w:numId w:val="8"/>
              </w:numPr>
              <w:spacing w:after="0"/>
              <w:rPr>
                <w:rFonts w:hint="eastAsia" w:ascii="宋体" w:hAnsi="宋体" w:eastAsia="宋体" w:cs="宋体"/>
                <w:sz w:val="24"/>
              </w:rPr>
            </w:pPr>
            <w:r>
              <w:rPr>
                <w:rFonts w:hint="eastAsia" w:ascii="宋体" w:hAnsi="宋体" w:eastAsia="宋体" w:cs="宋体"/>
                <w:sz w:val="24"/>
                <w:szCs w:val="24"/>
                <w:lang w:val="en-US" w:eastAsia="zh-CN"/>
              </w:rPr>
              <w:t>响应</w:t>
            </w:r>
            <w:r>
              <w:rPr>
                <w:rFonts w:hint="eastAsia" w:ascii="宋体" w:hAnsi="宋体" w:eastAsia="宋体" w:cs="宋体"/>
                <w:sz w:val="24"/>
                <w:szCs w:val="24"/>
              </w:rPr>
              <w:t>报价高于采购预算，其</w:t>
            </w:r>
            <w:r>
              <w:rPr>
                <w:rFonts w:hint="eastAsia" w:ascii="宋体" w:hAnsi="宋体" w:eastAsia="宋体" w:cs="宋体"/>
                <w:sz w:val="24"/>
                <w:szCs w:val="24"/>
                <w:lang w:val="en-US" w:eastAsia="zh-CN"/>
              </w:rPr>
              <w:t>响应</w:t>
            </w:r>
            <w:r>
              <w:rPr>
                <w:rFonts w:hint="eastAsia" w:ascii="宋体" w:hAnsi="宋体" w:eastAsia="宋体" w:cs="宋体"/>
                <w:sz w:val="24"/>
                <w:szCs w:val="24"/>
              </w:rPr>
              <w:t>文件将被视为无效</w:t>
            </w:r>
            <w:r>
              <w:rPr>
                <w:rFonts w:hint="eastAsia" w:ascii="宋体" w:hAnsi="宋体" w:eastAsia="宋体" w:cs="宋体"/>
                <w:sz w:val="24"/>
                <w:szCs w:val="24"/>
                <w:lang w:val="en-US" w:eastAsia="zh-CN"/>
              </w:rPr>
              <w:t>响应</w:t>
            </w:r>
            <w:r>
              <w:rPr>
                <w:rFonts w:hint="eastAsia" w:ascii="宋体" w:hAnsi="宋体" w:eastAsia="宋体" w:cs="宋体"/>
                <w:sz w:val="24"/>
                <w:szCs w:val="24"/>
              </w:rPr>
              <w:t>。</w:t>
            </w:r>
          </w:p>
          <w:p w14:paraId="5A6F152F">
            <w:pPr>
              <w:pStyle w:val="7"/>
              <w:numPr>
                <w:ilvl w:val="0"/>
                <w:numId w:val="8"/>
              </w:numPr>
              <w:spacing w:after="0"/>
              <w:rPr>
                <w:rFonts w:hint="eastAsia" w:ascii="宋体" w:hAnsi="宋体" w:eastAsia="宋体" w:cs="宋体"/>
                <w:sz w:val="24"/>
              </w:rPr>
            </w:pPr>
            <w:r>
              <w:rPr>
                <w:rFonts w:hint="eastAsia" w:ascii="宋体" w:hAnsi="宋体" w:eastAsia="宋体" w:cs="宋体"/>
                <w:sz w:val="24"/>
                <w:szCs w:val="24"/>
                <w:lang w:val="en-US" w:eastAsia="zh-CN"/>
              </w:rPr>
              <w:t>响应</w:t>
            </w:r>
            <w:r>
              <w:rPr>
                <w:rFonts w:hint="eastAsia" w:ascii="宋体" w:hAnsi="宋体" w:eastAsia="宋体" w:cs="宋体"/>
                <w:sz w:val="24"/>
                <w:szCs w:val="24"/>
              </w:rPr>
              <w:t>报价得分四舍五入后，小数点后保留两位有效数。</w:t>
            </w:r>
          </w:p>
        </w:tc>
      </w:tr>
    </w:tbl>
    <w:p w14:paraId="4B36CD85">
      <w:pPr>
        <w:snapToGrid w:val="0"/>
        <w:spacing w:line="579" w:lineRule="exact"/>
        <w:ind w:firstLine="0" w:firstLineChars="0"/>
        <w:rPr>
          <w:rFonts w:hint="eastAsia" w:ascii="宋体" w:hAnsi="宋体" w:eastAsia="宋体" w:cs="宋体"/>
          <w:spacing w:val="-4"/>
          <w:sz w:val="28"/>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font>
  <w:font w:name="PMingLiU">
    <w:panose1 w:val="02020500000000000000"/>
    <w:charset w:val="88"/>
    <w:family w:val="auto"/>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CD132">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20DF5">
                          <w:pPr>
                            <w:pStyle w:val="10"/>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4020DF5">
                    <w:pPr>
                      <w:pStyle w:val="10"/>
                      <w:rPr>
                        <w:rFonts w:ascii="仿宋" w:hAnsi="仿宋" w:eastAsia="仿宋" w:cs="仿宋"/>
                      </w:rPr>
                    </w:pPr>
                    <w:r>
                      <w:rPr>
                        <w:rFonts w:hint="eastAsia" w:ascii="仿宋" w:hAnsi="仿宋" w:eastAsia="仿宋" w:cs="仿宋"/>
                      </w:rPr>
                      <w:t xml:space="preserve">第 </w:t>
                    </w:r>
                    <w:r>
                      <w:rPr>
                        <w:rFonts w:hint="eastAsia" w:ascii="仿宋" w:hAnsi="仿宋" w:eastAsia="仿宋" w:cs="仿宋"/>
                      </w:rPr>
                      <w:fldChar w:fldCharType="begin"/>
                    </w:r>
                    <w:r>
                      <w:rPr>
                        <w:rFonts w:hint="eastAsia" w:ascii="仿宋" w:hAnsi="仿宋" w:eastAsia="仿宋" w:cs="仿宋"/>
                      </w:rPr>
                      <w:instrText xml:space="preserve"> PAGE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 共 </w:t>
                    </w:r>
                    <w:r>
                      <w:rPr>
                        <w:rFonts w:hint="eastAsia" w:ascii="仿宋" w:hAnsi="仿宋" w:eastAsia="仿宋" w:cs="仿宋"/>
                      </w:rPr>
                      <w:fldChar w:fldCharType="begin"/>
                    </w:r>
                    <w:r>
                      <w:rPr>
                        <w:rFonts w:hint="eastAsia" w:ascii="仿宋" w:hAnsi="仿宋" w:eastAsia="仿宋" w:cs="仿宋"/>
                      </w:rPr>
                      <w:instrText xml:space="preserve"> NUMPAGES  \* MERGEFORMAT </w:instrText>
                    </w:r>
                    <w:r>
                      <w:rPr>
                        <w:rFonts w:hint="eastAsia" w:ascii="仿宋" w:hAnsi="仿宋" w:eastAsia="仿宋" w:cs="仿宋"/>
                      </w:rPr>
                      <w:fldChar w:fldCharType="separate"/>
                    </w:r>
                    <w:r>
                      <w:rPr>
                        <w:rFonts w:ascii="仿宋" w:hAnsi="仿宋" w:eastAsia="仿宋" w:cs="仿宋"/>
                      </w:rPr>
                      <w:t>16</w:t>
                    </w:r>
                    <w:r>
                      <w:rPr>
                        <w:rFonts w:hint="eastAsia" w:ascii="仿宋" w:hAnsi="仿宋" w:eastAsia="仿宋" w:cs="仿宋"/>
                      </w:rPr>
                      <w:fldChar w:fldCharType="end"/>
                    </w:r>
                    <w:r>
                      <w:rPr>
                        <w:rFonts w:hint="eastAsia" w:ascii="仿宋" w:hAnsi="仿宋" w:eastAsia="仿宋" w:cs="仿宋"/>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1FF8CB"/>
    <w:multiLevelType w:val="multilevel"/>
    <w:tmpl w:val="AA1FF8CB"/>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D530C317"/>
    <w:multiLevelType w:val="singleLevel"/>
    <w:tmpl w:val="D530C317"/>
    <w:lvl w:ilvl="0" w:tentative="0">
      <w:start w:val="1"/>
      <w:numFmt w:val="chineseCountingThousand"/>
      <w:lvlText w:val="%1、"/>
      <w:lvlJc w:val="left"/>
      <w:pPr>
        <w:ind w:left="420" w:hanging="420"/>
      </w:pPr>
      <w:rPr>
        <w:rFonts w:hint="eastAsia"/>
      </w:rPr>
    </w:lvl>
  </w:abstractNum>
  <w:abstractNum w:abstractNumId="2">
    <w:nsid w:val="280B3281"/>
    <w:multiLevelType w:val="multilevel"/>
    <w:tmpl w:val="280B328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28E129F6"/>
    <w:multiLevelType w:val="multilevel"/>
    <w:tmpl w:val="28E129F6"/>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4552772"/>
    <w:multiLevelType w:val="multilevel"/>
    <w:tmpl w:val="44552772"/>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547753E"/>
    <w:multiLevelType w:val="multilevel"/>
    <w:tmpl w:val="4547753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01C3E31"/>
    <w:multiLevelType w:val="multilevel"/>
    <w:tmpl w:val="501C3E31"/>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AF907BF"/>
    <w:multiLevelType w:val="multilevel"/>
    <w:tmpl w:val="7AF907BF"/>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6"/>
  </w:num>
  <w:num w:numId="4">
    <w:abstractNumId w:val="3"/>
  </w:num>
  <w:num w:numId="5">
    <w:abstractNumId w:val="0"/>
  </w:num>
  <w:num w:numId="6">
    <w:abstractNumId w:val="5"/>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M0YTE2NzFkYWFlNTI1YjZjMTI2NDNjNGY0M2UyNzMifQ=="/>
  </w:docVars>
  <w:rsids>
    <w:rsidRoot w:val="00172A27"/>
    <w:rsid w:val="000220AD"/>
    <w:rsid w:val="00040BE2"/>
    <w:rsid w:val="00052E46"/>
    <w:rsid w:val="000714B0"/>
    <w:rsid w:val="000A02E8"/>
    <w:rsid w:val="00172A27"/>
    <w:rsid w:val="00226852"/>
    <w:rsid w:val="00252D24"/>
    <w:rsid w:val="00303D93"/>
    <w:rsid w:val="003D1701"/>
    <w:rsid w:val="00425833"/>
    <w:rsid w:val="0049648C"/>
    <w:rsid w:val="004A502C"/>
    <w:rsid w:val="00547EA7"/>
    <w:rsid w:val="00571431"/>
    <w:rsid w:val="00610819"/>
    <w:rsid w:val="006B242B"/>
    <w:rsid w:val="00784C0E"/>
    <w:rsid w:val="00800B15"/>
    <w:rsid w:val="008B1A09"/>
    <w:rsid w:val="008C7139"/>
    <w:rsid w:val="00910AEA"/>
    <w:rsid w:val="009D121A"/>
    <w:rsid w:val="00A1081B"/>
    <w:rsid w:val="00AD1434"/>
    <w:rsid w:val="00AD2C6F"/>
    <w:rsid w:val="00AF1302"/>
    <w:rsid w:val="00BD6BAA"/>
    <w:rsid w:val="00BE6D06"/>
    <w:rsid w:val="00BF57C8"/>
    <w:rsid w:val="00C37E1D"/>
    <w:rsid w:val="00C962A6"/>
    <w:rsid w:val="00D95153"/>
    <w:rsid w:val="00E01A96"/>
    <w:rsid w:val="00EA198D"/>
    <w:rsid w:val="00EB6636"/>
    <w:rsid w:val="00EE393E"/>
    <w:rsid w:val="00F66F31"/>
    <w:rsid w:val="01782B78"/>
    <w:rsid w:val="022B2B73"/>
    <w:rsid w:val="02BA5376"/>
    <w:rsid w:val="030F42DA"/>
    <w:rsid w:val="051536FE"/>
    <w:rsid w:val="05FB6D97"/>
    <w:rsid w:val="0649716C"/>
    <w:rsid w:val="06FC0BAE"/>
    <w:rsid w:val="0765096C"/>
    <w:rsid w:val="0833239F"/>
    <w:rsid w:val="08D8516E"/>
    <w:rsid w:val="094B4B13"/>
    <w:rsid w:val="099C229E"/>
    <w:rsid w:val="0A795329"/>
    <w:rsid w:val="0AA10C73"/>
    <w:rsid w:val="0B8415DD"/>
    <w:rsid w:val="0C686809"/>
    <w:rsid w:val="0DA35E8C"/>
    <w:rsid w:val="0E0C4977"/>
    <w:rsid w:val="0E633DF1"/>
    <w:rsid w:val="0E775B56"/>
    <w:rsid w:val="0FCE72CB"/>
    <w:rsid w:val="1031492B"/>
    <w:rsid w:val="10481C0F"/>
    <w:rsid w:val="11020FDA"/>
    <w:rsid w:val="111B419D"/>
    <w:rsid w:val="11551A52"/>
    <w:rsid w:val="126C329A"/>
    <w:rsid w:val="14294AD0"/>
    <w:rsid w:val="14537AB6"/>
    <w:rsid w:val="14975A60"/>
    <w:rsid w:val="14BF0B7A"/>
    <w:rsid w:val="14F50B39"/>
    <w:rsid w:val="16832F64"/>
    <w:rsid w:val="16CC68AA"/>
    <w:rsid w:val="171F21BA"/>
    <w:rsid w:val="1768590F"/>
    <w:rsid w:val="17DF1E77"/>
    <w:rsid w:val="18120761"/>
    <w:rsid w:val="198553F4"/>
    <w:rsid w:val="1AA5544C"/>
    <w:rsid w:val="1C7A475A"/>
    <w:rsid w:val="1CAB05A9"/>
    <w:rsid w:val="1CDC3A7F"/>
    <w:rsid w:val="1CF766F6"/>
    <w:rsid w:val="1D7FD149"/>
    <w:rsid w:val="1DAA1367"/>
    <w:rsid w:val="1DED1574"/>
    <w:rsid w:val="1EE41614"/>
    <w:rsid w:val="1EF4674C"/>
    <w:rsid w:val="1F190899"/>
    <w:rsid w:val="20CB104F"/>
    <w:rsid w:val="20E46FE8"/>
    <w:rsid w:val="21765657"/>
    <w:rsid w:val="21C440BD"/>
    <w:rsid w:val="22216021"/>
    <w:rsid w:val="24B80EB5"/>
    <w:rsid w:val="24D740D4"/>
    <w:rsid w:val="24EA7D8D"/>
    <w:rsid w:val="25083D60"/>
    <w:rsid w:val="25164BFC"/>
    <w:rsid w:val="25665BB5"/>
    <w:rsid w:val="261004E6"/>
    <w:rsid w:val="26127ABA"/>
    <w:rsid w:val="262275D1"/>
    <w:rsid w:val="270F7B55"/>
    <w:rsid w:val="27D04938"/>
    <w:rsid w:val="283B5F25"/>
    <w:rsid w:val="28414686"/>
    <w:rsid w:val="28DA1835"/>
    <w:rsid w:val="29465F48"/>
    <w:rsid w:val="29573F32"/>
    <w:rsid w:val="2A54787B"/>
    <w:rsid w:val="2C745C2D"/>
    <w:rsid w:val="2C7D1A05"/>
    <w:rsid w:val="2D337167"/>
    <w:rsid w:val="2D8917DC"/>
    <w:rsid w:val="2DCC67C7"/>
    <w:rsid w:val="31EF39F8"/>
    <w:rsid w:val="330D29B8"/>
    <w:rsid w:val="3320279F"/>
    <w:rsid w:val="3321087D"/>
    <w:rsid w:val="348E0F03"/>
    <w:rsid w:val="34A631E3"/>
    <w:rsid w:val="358B4CC2"/>
    <w:rsid w:val="35A62C8F"/>
    <w:rsid w:val="35E967DB"/>
    <w:rsid w:val="36B9188B"/>
    <w:rsid w:val="37397828"/>
    <w:rsid w:val="382A4631"/>
    <w:rsid w:val="388C60D5"/>
    <w:rsid w:val="38CF6B61"/>
    <w:rsid w:val="38D5034D"/>
    <w:rsid w:val="38F51F16"/>
    <w:rsid w:val="39A700C1"/>
    <w:rsid w:val="39DE261B"/>
    <w:rsid w:val="3A4C5DD7"/>
    <w:rsid w:val="3AA901B5"/>
    <w:rsid w:val="3AB407D9"/>
    <w:rsid w:val="3B5933C7"/>
    <w:rsid w:val="3BC7639E"/>
    <w:rsid w:val="3C6A4691"/>
    <w:rsid w:val="3CB80EBB"/>
    <w:rsid w:val="3D791D75"/>
    <w:rsid w:val="3D9A6814"/>
    <w:rsid w:val="3DCE20C0"/>
    <w:rsid w:val="3DD00B85"/>
    <w:rsid w:val="3E1B2A4E"/>
    <w:rsid w:val="3E323037"/>
    <w:rsid w:val="3E6E697D"/>
    <w:rsid w:val="3EC632D6"/>
    <w:rsid w:val="3F3D74FE"/>
    <w:rsid w:val="4014672F"/>
    <w:rsid w:val="402E6E46"/>
    <w:rsid w:val="40661E11"/>
    <w:rsid w:val="41655E4C"/>
    <w:rsid w:val="444B2303"/>
    <w:rsid w:val="444E593D"/>
    <w:rsid w:val="4463394B"/>
    <w:rsid w:val="447D691C"/>
    <w:rsid w:val="4495070A"/>
    <w:rsid w:val="44C32D1F"/>
    <w:rsid w:val="45C63554"/>
    <w:rsid w:val="45F94327"/>
    <w:rsid w:val="460A7988"/>
    <w:rsid w:val="46933BBE"/>
    <w:rsid w:val="470054BD"/>
    <w:rsid w:val="4734690A"/>
    <w:rsid w:val="479E2B03"/>
    <w:rsid w:val="482F0ED3"/>
    <w:rsid w:val="496C5184"/>
    <w:rsid w:val="4A577A02"/>
    <w:rsid w:val="4B3C1D9F"/>
    <w:rsid w:val="4B3D0885"/>
    <w:rsid w:val="4BC90632"/>
    <w:rsid w:val="4C2029B7"/>
    <w:rsid w:val="4C2F01CE"/>
    <w:rsid w:val="4D7972C4"/>
    <w:rsid w:val="4E710F72"/>
    <w:rsid w:val="4FFF7BCB"/>
    <w:rsid w:val="53796C23"/>
    <w:rsid w:val="53AE6B1C"/>
    <w:rsid w:val="54ED3AE7"/>
    <w:rsid w:val="55122A11"/>
    <w:rsid w:val="55E055C2"/>
    <w:rsid w:val="56772E9D"/>
    <w:rsid w:val="56992E7A"/>
    <w:rsid w:val="57362A48"/>
    <w:rsid w:val="5750766A"/>
    <w:rsid w:val="57D83E10"/>
    <w:rsid w:val="57E74DD6"/>
    <w:rsid w:val="581B3CFC"/>
    <w:rsid w:val="583B3D18"/>
    <w:rsid w:val="58440AC4"/>
    <w:rsid w:val="58DD7FD9"/>
    <w:rsid w:val="59EA7E2A"/>
    <w:rsid w:val="5A6279C1"/>
    <w:rsid w:val="5B7D2062"/>
    <w:rsid w:val="5BD17FB3"/>
    <w:rsid w:val="5DB1290C"/>
    <w:rsid w:val="5E577C8A"/>
    <w:rsid w:val="5E760228"/>
    <w:rsid w:val="5EC13634"/>
    <w:rsid w:val="5F354CD5"/>
    <w:rsid w:val="6024654A"/>
    <w:rsid w:val="602C05AC"/>
    <w:rsid w:val="6089214B"/>
    <w:rsid w:val="61342E39"/>
    <w:rsid w:val="6138147B"/>
    <w:rsid w:val="62D13591"/>
    <w:rsid w:val="62D15865"/>
    <w:rsid w:val="64192E81"/>
    <w:rsid w:val="645772E9"/>
    <w:rsid w:val="64E738E4"/>
    <w:rsid w:val="65293EFC"/>
    <w:rsid w:val="6662148C"/>
    <w:rsid w:val="66953493"/>
    <w:rsid w:val="66DF3CC5"/>
    <w:rsid w:val="675128DE"/>
    <w:rsid w:val="687B015C"/>
    <w:rsid w:val="68B95597"/>
    <w:rsid w:val="691073D7"/>
    <w:rsid w:val="693437B9"/>
    <w:rsid w:val="6A342D5C"/>
    <w:rsid w:val="6AF84AF7"/>
    <w:rsid w:val="6B7678FF"/>
    <w:rsid w:val="6C2C4689"/>
    <w:rsid w:val="6C572E7E"/>
    <w:rsid w:val="6C6C202C"/>
    <w:rsid w:val="6CFD7FAA"/>
    <w:rsid w:val="6D301BA0"/>
    <w:rsid w:val="6E682534"/>
    <w:rsid w:val="6F733438"/>
    <w:rsid w:val="70CB3E65"/>
    <w:rsid w:val="711E68DF"/>
    <w:rsid w:val="71211E57"/>
    <w:rsid w:val="71C72AD3"/>
    <w:rsid w:val="723F7F45"/>
    <w:rsid w:val="729B5D0E"/>
    <w:rsid w:val="73706174"/>
    <w:rsid w:val="73C472E5"/>
    <w:rsid w:val="744875E3"/>
    <w:rsid w:val="74711995"/>
    <w:rsid w:val="755D4B9A"/>
    <w:rsid w:val="756B2E56"/>
    <w:rsid w:val="763738F5"/>
    <w:rsid w:val="76B455F0"/>
    <w:rsid w:val="76BC3F4F"/>
    <w:rsid w:val="772779E0"/>
    <w:rsid w:val="772B7660"/>
    <w:rsid w:val="7BD55DED"/>
    <w:rsid w:val="7C5238E1"/>
    <w:rsid w:val="7C6E2E02"/>
    <w:rsid w:val="7DB77881"/>
    <w:rsid w:val="7F6F7946"/>
    <w:rsid w:val="7F7B60DC"/>
    <w:rsid w:val="7FFEBBB7"/>
    <w:rsid w:val="B2741A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outlineLvl w:val="0"/>
    </w:pPr>
    <w:rPr>
      <w:rFonts w:eastAsia="黑体"/>
      <w:b/>
      <w:kern w:val="44"/>
      <w:sz w:val="32"/>
    </w:rPr>
  </w:style>
  <w:style w:type="paragraph" w:styleId="3">
    <w:name w:val="heading 3"/>
    <w:basedOn w:val="1"/>
    <w:next w:val="1"/>
    <w:link w:val="21"/>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22"/>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link w:val="19"/>
    <w:qFormat/>
    <w:uiPriority w:val="0"/>
    <w:pPr>
      <w:spacing w:after="120"/>
    </w:pPr>
  </w:style>
  <w:style w:type="paragraph" w:styleId="8">
    <w:name w:val="Plain Text"/>
    <w:basedOn w:val="1"/>
    <w:qFormat/>
    <w:uiPriority w:val="0"/>
    <w:rPr>
      <w:rFonts w:ascii="宋体" w:hAnsi="Courier New" w:cs="Courier New"/>
    </w:rPr>
  </w:style>
  <w:style w:type="paragraph" w:styleId="9">
    <w:name w:val="Body Text Indent 2"/>
    <w:qFormat/>
    <w:uiPriority w:val="0"/>
    <w:pPr>
      <w:widowControl w:val="0"/>
      <w:spacing w:line="480" w:lineRule="exact"/>
      <w:ind w:left="810" w:firstLine="675"/>
      <w:jc w:val="both"/>
    </w:pPr>
    <w:rPr>
      <w:rFonts w:ascii="Calibri" w:hAnsi="Calibri" w:eastAsia="仿宋_GB2312" w:cs="Times New Roman"/>
      <w:kern w:val="2"/>
      <w:sz w:val="30"/>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Body Text First Indent"/>
    <w:basedOn w:val="7"/>
    <w:link w:val="20"/>
    <w:qFormat/>
    <w:uiPriority w:val="0"/>
    <w:pPr>
      <w:ind w:firstLine="420" w:firstLineChars="100"/>
    </w:p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_0_0"/>
    <w:qFormat/>
    <w:uiPriority w:val="0"/>
    <w:pPr>
      <w:widowControl w:val="0"/>
      <w:spacing w:line="360" w:lineRule="auto"/>
      <w:ind w:firstLine="560" w:firstLineChars="200"/>
    </w:pPr>
    <w:rPr>
      <w:rFonts w:ascii="宋体" w:hAnsi="宋体" w:eastAsia="宋体" w:cs="宋体"/>
      <w:kern w:val="2"/>
      <w:sz w:val="28"/>
      <w:szCs w:val="28"/>
      <w:lang w:val="en-US" w:eastAsia="zh-CN" w:bidi="ar-SA"/>
    </w:rPr>
  </w:style>
  <w:style w:type="paragraph" w:styleId="18">
    <w:name w:val="List Paragraph"/>
    <w:basedOn w:val="1"/>
    <w:unhideWhenUsed/>
    <w:qFormat/>
    <w:uiPriority w:val="99"/>
    <w:pPr>
      <w:ind w:firstLine="420" w:firstLineChars="200"/>
    </w:pPr>
  </w:style>
  <w:style w:type="character" w:customStyle="1" w:styleId="19">
    <w:name w:val="正文文本 字符"/>
    <w:basedOn w:val="15"/>
    <w:link w:val="7"/>
    <w:qFormat/>
    <w:uiPriority w:val="0"/>
    <w:rPr>
      <w:rFonts w:asciiTheme="minorHAnsi" w:hAnsiTheme="minorHAnsi" w:eastAsiaTheme="minorEastAsia" w:cstheme="minorBidi"/>
      <w:kern w:val="2"/>
      <w:sz w:val="21"/>
      <w:szCs w:val="24"/>
    </w:rPr>
  </w:style>
  <w:style w:type="character" w:customStyle="1" w:styleId="20">
    <w:name w:val="正文首行缩进 字符"/>
    <w:basedOn w:val="19"/>
    <w:link w:val="12"/>
    <w:qFormat/>
    <w:uiPriority w:val="0"/>
    <w:rPr>
      <w:rFonts w:asciiTheme="minorHAnsi" w:hAnsiTheme="minorHAnsi" w:eastAsiaTheme="minorEastAsia" w:cstheme="minorBidi"/>
      <w:kern w:val="2"/>
      <w:sz w:val="21"/>
      <w:szCs w:val="24"/>
    </w:rPr>
  </w:style>
  <w:style w:type="character" w:customStyle="1" w:styleId="21">
    <w:name w:val="标题 3 字符"/>
    <w:basedOn w:val="15"/>
    <w:link w:val="3"/>
    <w:semiHidden/>
    <w:qFormat/>
    <w:uiPriority w:val="0"/>
    <w:rPr>
      <w:rFonts w:asciiTheme="minorHAnsi" w:hAnsiTheme="minorHAnsi" w:eastAsiaTheme="minorEastAsia" w:cstheme="minorBidi"/>
      <w:b/>
      <w:bCs/>
      <w:kern w:val="2"/>
      <w:sz w:val="32"/>
      <w:szCs w:val="32"/>
    </w:rPr>
  </w:style>
  <w:style w:type="character" w:customStyle="1" w:styleId="22">
    <w:name w:val="标题 4 字符"/>
    <w:basedOn w:val="15"/>
    <w:link w:val="4"/>
    <w:semiHidden/>
    <w:qFormat/>
    <w:uiPriority w:val="0"/>
    <w:rPr>
      <w:rFonts w:asciiTheme="majorHAnsi" w:hAnsiTheme="majorHAnsi" w:eastAsiaTheme="majorEastAsia" w:cstheme="majorBidi"/>
      <w:b/>
      <w:bCs/>
      <w:kern w:val="2"/>
      <w:sz w:val="28"/>
      <w:szCs w:val="28"/>
    </w:rPr>
  </w:style>
  <w:style w:type="table" w:customStyle="1" w:styleId="23">
    <w:name w:val="15"/>
    <w:basedOn w:val="13"/>
    <w:qFormat/>
    <w:uiPriority w:val="0"/>
    <w:pPr>
      <w:widowControl w:val="0"/>
      <w:spacing w:line="360" w:lineRule="auto"/>
      <w:jc w:val="both"/>
    </w:pPr>
    <w:rPr>
      <w:rFonts w:ascii="Microsoft JhengHei" w:hAnsi="Microsoft JhengHei" w:cs="Microsoft JhengHei" w:eastAsiaTheme="minorEastAsia"/>
      <w:sz w:val="24"/>
      <w:szCs w:val="24"/>
      <w:lang w:eastAsia="zh-TW"/>
    </w:rPr>
    <w:tblPr>
      <w:tblCellMar>
        <w:left w:w="0" w:type="dxa"/>
        <w:right w:w="0" w:type="dxa"/>
      </w:tblCellMar>
    </w:tblPr>
  </w:style>
  <w:style w:type="paragraph" w:customStyle="1" w:styleId="24">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DD4288-DE5D-4D8F-8BBF-FC2EEC86DDE9}">
  <ds:schemaRefs/>
</ds:datastoreItem>
</file>

<file path=docProps/app.xml><?xml version="1.0" encoding="utf-8"?>
<Properties xmlns="http://schemas.openxmlformats.org/officeDocument/2006/extended-properties" xmlns:vt="http://schemas.openxmlformats.org/officeDocument/2006/docPropsVTypes">
  <Template>Normal.dotm</Template>
  <Pages>4</Pages>
  <Words>3061</Words>
  <Characters>3134</Characters>
  <Lines>51</Lines>
  <Paragraphs>14</Paragraphs>
  <TotalTime>3</TotalTime>
  <ScaleCrop>false</ScaleCrop>
  <LinksUpToDate>false</LinksUpToDate>
  <CharactersWithSpaces>3135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2026-08-06T01:04:00Z</dcterms:created>
  <dc:creator>fangjiaqin</dc:creator>
  <cp:lastModifiedBy>高晓霖:综合处</cp:lastModifiedBy>
  <dcterms:modified xsi:type="dcterms:W3CDTF">2026-08-28T06:20:50Z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6FB98BFBB383450D8F13F1EBA5A6B316_13</vt:lpwstr>
  </property>
  <property fmtid="{D5CDD505-2E9C-101B-9397-08002B2CF9AE}" pid="4" name="KSOTemplateDocerSaveRecord">
    <vt:lpwstr>eyJoZGlkIjoiZmZhOWVmNDVkYThkZmQ3N2I3ZTAxYmFmNGYzNGFmN2IiLCJ1c2VySWQiOiIyMDYzMTQwMjQifQ==</vt:lpwstr>
  </property>
</Properties>
</file>