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jc w:val="center"/>
        <w:rPr>
          <w:rFonts w:ascii="方正小标宋简体" w:hAnsi="仿宋" w:eastAsia="方正小标宋简体"/>
          <w:color w:val="auto"/>
          <w:sz w:val="44"/>
          <w:szCs w:val="44"/>
          <w:highlight w:val="none"/>
        </w:rPr>
      </w:pPr>
      <w:bookmarkStart w:id="0" w:name="_GoBack"/>
      <w:bookmarkEnd w:id="0"/>
      <w:r>
        <w:rPr>
          <w:rFonts w:hint="eastAsia" w:ascii="方正小标宋简体" w:hAnsi="仿宋" w:eastAsia="方正小标宋简体" w:cs="Times New Roman"/>
          <w:color w:val="auto"/>
          <w:sz w:val="44"/>
          <w:szCs w:val="44"/>
          <w:highlight w:val="none"/>
          <w:lang w:val="en-US" w:eastAsia="zh-CN"/>
        </w:rPr>
        <w:t>《</w:t>
      </w:r>
      <w:r>
        <w:rPr>
          <w:rFonts w:hint="eastAsia" w:ascii="方正小标宋简体" w:hAnsi="方正小标宋简体" w:eastAsia="方正小标宋简体" w:cs="方正小标宋简体"/>
          <w:b w:val="0"/>
          <w:bCs w:val="0"/>
          <w:sz w:val="44"/>
          <w:szCs w:val="44"/>
          <w:highlight w:val="none"/>
          <w:lang w:val="en-US" w:eastAsia="zh-CN"/>
        </w:rPr>
        <w:t>天沐河北岸（依依桥至思思桥段）市政配套设施微改造项目代建服务</w:t>
      </w:r>
      <w:r>
        <w:rPr>
          <w:rFonts w:hint="eastAsia" w:ascii="方正小标宋简体" w:hAnsi="仿宋" w:eastAsia="方正小标宋简体" w:cs="Times New Roman"/>
          <w:color w:val="auto"/>
          <w:sz w:val="44"/>
          <w:szCs w:val="44"/>
          <w:highlight w:val="none"/>
          <w:lang w:val="en-US" w:eastAsia="zh-CN"/>
        </w:rPr>
        <w:t>》</w:t>
      </w:r>
      <w:r>
        <w:rPr>
          <w:rFonts w:hint="eastAsia" w:ascii="方正小标宋简体" w:hAnsi="仿宋" w:eastAsia="方正小标宋简体" w:cs="Times New Roman"/>
          <w:color w:val="auto"/>
          <w:sz w:val="44"/>
          <w:szCs w:val="44"/>
          <w:highlight w:val="none"/>
        </w:rPr>
        <w:t>评分标准</w:t>
      </w:r>
    </w:p>
    <w:p>
      <w:pPr>
        <w:rPr>
          <w:color w:val="auto"/>
          <w:highlight w:val="none"/>
        </w:rPr>
      </w:pPr>
    </w:p>
    <w:p>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本项目采用综合评分法进行评审，具体评分细则详见综合评分表。评价指标及权重：</w:t>
      </w:r>
    </w:p>
    <w:tbl>
      <w:tblPr>
        <w:tblStyle w:val="12"/>
        <w:tblpPr w:leftFromText="180" w:rightFromText="180" w:vertAnchor="text" w:horzAnchor="page" w:tblpX="3370" w:tblpY="195"/>
        <w:tblOverlap w:val="never"/>
        <w:tblW w:w="5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1"/>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3761" w:type="dxa"/>
            <w:vAlign w:val="center"/>
          </w:tcPr>
          <w:p>
            <w:pPr>
              <w:spacing w:line="400" w:lineRule="exact"/>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评价指标</w:t>
            </w:r>
          </w:p>
        </w:tc>
        <w:tc>
          <w:tcPr>
            <w:tcW w:w="2078" w:type="dxa"/>
            <w:vAlign w:val="center"/>
          </w:tcPr>
          <w:p>
            <w:pPr>
              <w:spacing w:line="400" w:lineRule="exact"/>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指标权重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761"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技术部分</w:t>
            </w:r>
          </w:p>
        </w:tc>
        <w:tc>
          <w:tcPr>
            <w:tcW w:w="2078" w:type="dxa"/>
            <w:vAlign w:val="center"/>
          </w:tcPr>
          <w:p>
            <w:pPr>
              <w:spacing w:line="40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atLeast"/>
        </w:trPr>
        <w:tc>
          <w:tcPr>
            <w:tcW w:w="3761"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商务部分</w:t>
            </w:r>
          </w:p>
        </w:tc>
        <w:tc>
          <w:tcPr>
            <w:tcW w:w="2078" w:type="dxa"/>
            <w:vAlign w:val="center"/>
          </w:tcPr>
          <w:p>
            <w:pPr>
              <w:spacing w:line="40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761"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经济价格</w:t>
            </w:r>
          </w:p>
        </w:tc>
        <w:tc>
          <w:tcPr>
            <w:tcW w:w="2078"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761"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合计</w:t>
            </w:r>
          </w:p>
        </w:tc>
        <w:tc>
          <w:tcPr>
            <w:tcW w:w="2078" w:type="dxa"/>
            <w:vAlign w:val="center"/>
          </w:tcPr>
          <w:p>
            <w:pPr>
              <w:spacing w:line="40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100</w:t>
            </w:r>
          </w:p>
        </w:tc>
      </w:tr>
    </w:tbl>
    <w:p>
      <w:pPr>
        <w:spacing w:line="600" w:lineRule="exact"/>
        <w:rPr>
          <w:rFonts w:ascii="仿宋_GB2312" w:hAnsi="仿宋_GB2312" w:eastAsia="仿宋_GB2312" w:cs="仿宋_GB2312"/>
          <w:b/>
          <w:bCs/>
          <w:color w:val="auto"/>
          <w:sz w:val="32"/>
          <w:szCs w:val="32"/>
          <w:highlight w:val="none"/>
        </w:rPr>
      </w:pPr>
    </w:p>
    <w:p>
      <w:pPr>
        <w:spacing w:line="600" w:lineRule="exact"/>
        <w:rPr>
          <w:rFonts w:ascii="仿宋_GB2312" w:hAnsi="仿宋_GB2312" w:eastAsia="仿宋_GB2312" w:cs="仿宋_GB2312"/>
          <w:color w:val="auto"/>
          <w:sz w:val="32"/>
          <w:szCs w:val="32"/>
          <w:highlight w:val="none"/>
        </w:rPr>
      </w:pPr>
    </w:p>
    <w:p>
      <w:pPr>
        <w:spacing w:line="600" w:lineRule="exact"/>
        <w:rPr>
          <w:rFonts w:ascii="仿宋_GB2312" w:hAnsi="仿宋_GB2312" w:eastAsia="仿宋_GB2312" w:cs="仿宋_GB2312"/>
          <w:color w:val="auto"/>
          <w:sz w:val="32"/>
          <w:szCs w:val="32"/>
          <w:highlight w:val="none"/>
        </w:rPr>
      </w:pPr>
    </w:p>
    <w:p>
      <w:pPr>
        <w:spacing w:line="600" w:lineRule="exact"/>
        <w:rPr>
          <w:rFonts w:ascii="仿宋_GB2312" w:hAnsi="仿宋_GB2312" w:eastAsia="仿宋_GB2312" w:cs="仿宋_GB2312"/>
          <w:color w:val="auto"/>
          <w:sz w:val="32"/>
          <w:szCs w:val="32"/>
          <w:highlight w:val="none"/>
        </w:rPr>
      </w:pPr>
    </w:p>
    <w:p>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特别说明：</w:t>
      </w:r>
    </w:p>
    <w:p>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（一）将所有商务技术评价指标所得实际评价分数相加，即为该</w:t>
      </w:r>
      <w:r>
        <w:rPr>
          <w:rFonts w:hint="eastAsia" w:ascii="仿宋_GB2312" w:hAnsi="仿宋_GB2312" w:eastAsia="仿宋_GB2312" w:cs="仿宋_GB2312"/>
          <w:color w:val="auto"/>
          <w:sz w:val="32"/>
          <w:szCs w:val="32"/>
          <w:highlight w:val="none"/>
          <w:lang w:val="en-US" w:eastAsia="zh-CN"/>
        </w:rPr>
        <w:t>供应商</w:t>
      </w:r>
      <w:r>
        <w:rPr>
          <w:rFonts w:hint="eastAsia" w:ascii="仿宋_GB2312" w:hAnsi="仿宋_GB2312" w:eastAsia="仿宋_GB2312" w:cs="仿宋_GB2312"/>
          <w:color w:val="auto"/>
          <w:sz w:val="32"/>
          <w:szCs w:val="32"/>
          <w:highlight w:val="none"/>
        </w:rPr>
        <w:t>的商务技术评价得分，所有评委评出的商务技术评价得分取平均值为该</w:t>
      </w:r>
      <w:r>
        <w:rPr>
          <w:rFonts w:hint="eastAsia" w:ascii="仿宋_GB2312" w:hAnsi="仿宋_GB2312" w:eastAsia="仿宋_GB2312" w:cs="仿宋_GB2312"/>
          <w:color w:val="auto"/>
          <w:sz w:val="32"/>
          <w:szCs w:val="32"/>
          <w:highlight w:val="none"/>
          <w:lang w:eastAsia="zh-CN"/>
        </w:rPr>
        <w:t>供应商</w:t>
      </w:r>
      <w:r>
        <w:rPr>
          <w:rFonts w:hint="eastAsia" w:ascii="仿宋_GB2312" w:hAnsi="仿宋_GB2312" w:eastAsia="仿宋_GB2312" w:cs="仿宋_GB2312"/>
          <w:color w:val="auto"/>
          <w:sz w:val="32"/>
          <w:szCs w:val="32"/>
          <w:highlight w:val="none"/>
        </w:rPr>
        <w:t>的商务技术标得分。</w:t>
      </w:r>
    </w:p>
    <w:p>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（二）经济价格标得分=(评标基准价/评标价)×价格指标权重×100。</w:t>
      </w:r>
    </w:p>
    <w:p>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上述公式中的“评标基准价”是指满足项目需求书要求的最低评标价，其价格得分为满分。评标价为在报价基础上作算术修正后的价格，无算术修正情况下，报价即为评标价。</w:t>
      </w:r>
    </w:p>
    <w:p>
      <w:pPr>
        <w:numPr>
          <w:ilvl w:val="0"/>
          <w:numId w:val="1"/>
        </w:num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投标最终得分 = 商务标得分 + 技术标得分＋经济价格标得分。</w:t>
      </w:r>
    </w:p>
    <w:p>
      <w:pPr>
        <w:pStyle w:val="6"/>
        <w:ind w:left="1260"/>
        <w:rPr>
          <w:rFonts w:hint="default" w:ascii="仿宋_GB2312" w:hAnsi="仿宋_GB2312" w:eastAsia="仿宋_GB2312" w:cs="仿宋_GB2312"/>
          <w:color w:val="auto"/>
          <w:sz w:val="32"/>
          <w:szCs w:val="32"/>
          <w:highlight w:val="none"/>
        </w:rPr>
      </w:pPr>
    </w:p>
    <w:p>
      <w:pPr>
        <w:rPr>
          <w:rFonts w:hint="default" w:ascii="仿宋_GB2312" w:hAnsi="仿宋_GB2312" w:eastAsia="仿宋_GB2312" w:cs="仿宋_GB2312"/>
          <w:color w:val="auto"/>
          <w:sz w:val="32"/>
          <w:szCs w:val="32"/>
          <w:highlight w:val="none"/>
        </w:rPr>
      </w:pPr>
    </w:p>
    <w:p>
      <w:pPr>
        <w:rPr>
          <w:rFonts w:hint="default" w:ascii="仿宋_GB2312" w:hAnsi="仿宋_GB2312" w:eastAsia="仿宋_GB2312" w:cs="仿宋_GB2312"/>
          <w:color w:val="auto"/>
          <w:sz w:val="32"/>
          <w:szCs w:val="32"/>
          <w:highlight w:val="none"/>
        </w:rPr>
      </w:pPr>
    </w:p>
    <w:p>
      <w:pPr>
        <w:rPr>
          <w:color w:val="auto"/>
          <w:highlight w:val="none"/>
        </w:rPr>
      </w:pPr>
    </w:p>
    <w:p>
      <w:pPr>
        <w:rPr>
          <w:color w:val="auto"/>
          <w:highlight w:val="none"/>
        </w:rPr>
      </w:pPr>
    </w:p>
    <w:tbl>
      <w:tblPr>
        <w:tblStyle w:val="12"/>
        <w:tblW w:w="907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01"/>
        <w:gridCol w:w="1072"/>
        <w:gridCol w:w="6598"/>
        <w:gridCol w:w="7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66" w:hRule="atLeast"/>
          <w:jc w:val="center"/>
        </w:trPr>
        <w:tc>
          <w:tcPr>
            <w:tcW w:w="1773" w:type="dxa"/>
            <w:gridSpan w:val="2"/>
            <w:vAlign w:val="center"/>
          </w:tcPr>
          <w:p>
            <w:pPr>
              <w:widowControl/>
              <w:jc w:val="center"/>
              <w:rPr>
                <w:rFonts w:ascii="宋体" w:cs="宋体"/>
                <w:b/>
                <w:color w:val="auto"/>
                <w:kern w:val="0"/>
                <w:sz w:val="24"/>
                <w:highlight w:val="none"/>
              </w:rPr>
            </w:pPr>
            <w:r>
              <w:rPr>
                <w:rFonts w:hint="eastAsia" w:ascii="宋体" w:hAnsi="宋体" w:cs="宋体"/>
                <w:b/>
                <w:color w:val="auto"/>
                <w:kern w:val="0"/>
                <w:sz w:val="24"/>
                <w:highlight w:val="none"/>
              </w:rPr>
              <w:t>评分项目</w:t>
            </w:r>
          </w:p>
        </w:tc>
        <w:tc>
          <w:tcPr>
            <w:tcW w:w="6598" w:type="dxa"/>
            <w:vAlign w:val="center"/>
          </w:tcPr>
          <w:p>
            <w:pPr>
              <w:widowControl/>
              <w:jc w:val="center"/>
              <w:rPr>
                <w:rFonts w:ascii="宋体" w:cs="宋体"/>
                <w:b/>
                <w:color w:val="auto"/>
                <w:kern w:val="0"/>
                <w:sz w:val="24"/>
                <w:highlight w:val="none"/>
              </w:rPr>
            </w:pPr>
            <w:r>
              <w:rPr>
                <w:rFonts w:hint="eastAsia" w:ascii="宋体" w:hAnsi="宋体" w:cs="宋体"/>
                <w:b/>
                <w:color w:val="auto"/>
                <w:kern w:val="0"/>
                <w:sz w:val="24"/>
                <w:highlight w:val="none"/>
              </w:rPr>
              <w:t>评分标准</w:t>
            </w:r>
          </w:p>
        </w:tc>
        <w:tc>
          <w:tcPr>
            <w:tcW w:w="700" w:type="dxa"/>
            <w:vAlign w:val="center"/>
          </w:tcPr>
          <w:p>
            <w:pPr>
              <w:widowControl/>
              <w:jc w:val="center"/>
              <w:rPr>
                <w:rFonts w:ascii="宋体" w:cs="宋体"/>
                <w:b/>
                <w:color w:val="auto"/>
                <w:kern w:val="0"/>
                <w:sz w:val="24"/>
                <w:highlight w:val="none"/>
              </w:rPr>
            </w:pPr>
            <w:r>
              <w:rPr>
                <w:rFonts w:hint="eastAsia" w:ascii="宋体" w:hAnsi="宋体" w:cs="宋体"/>
                <w:b/>
                <w:color w:val="auto"/>
                <w:kern w:val="0"/>
                <w:sz w:val="24"/>
                <w:highlight w:val="none"/>
              </w:rPr>
              <w:t>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restart"/>
            <w:vAlign w:val="center"/>
          </w:tcPr>
          <w:p>
            <w:pPr>
              <w:widowControl/>
              <w:jc w:val="left"/>
              <w:rPr>
                <w:rFonts w:ascii="宋体" w:cs="宋体"/>
                <w:b w:val="0"/>
                <w:bCs w:val="0"/>
                <w:color w:val="auto"/>
                <w:kern w:val="0"/>
                <w:sz w:val="24"/>
                <w:highlight w:val="none"/>
              </w:rPr>
            </w:pPr>
            <w:r>
              <w:rPr>
                <w:rFonts w:hint="eastAsia" w:ascii="宋体" w:cs="宋体"/>
                <w:b w:val="0"/>
                <w:bCs w:val="0"/>
                <w:color w:val="auto"/>
                <w:kern w:val="0"/>
                <w:sz w:val="24"/>
                <w:highlight w:val="none"/>
              </w:rPr>
              <w:t>技术部分</w:t>
            </w:r>
            <w:r>
              <w:rPr>
                <w:rFonts w:hint="eastAsia" w:ascii="宋体" w:cs="宋体"/>
                <w:b w:val="0"/>
                <w:bCs w:val="0"/>
                <w:color w:val="auto"/>
                <w:kern w:val="0"/>
                <w:sz w:val="24"/>
                <w:highlight w:val="none"/>
                <w:lang w:val="en-US" w:eastAsia="zh-CN"/>
              </w:rPr>
              <w:t>55</w:t>
            </w:r>
            <w:r>
              <w:rPr>
                <w:rFonts w:hint="eastAsia" w:ascii="宋体" w:cs="宋体"/>
                <w:b w:val="0"/>
                <w:bCs w:val="0"/>
                <w:color w:val="auto"/>
                <w:kern w:val="0"/>
                <w:sz w:val="24"/>
                <w:highlight w:val="none"/>
              </w:rPr>
              <w:t>分</w:t>
            </w:r>
          </w:p>
        </w:tc>
        <w:tc>
          <w:tcPr>
            <w:tcW w:w="1072" w:type="dxa"/>
            <w:vAlign w:val="center"/>
          </w:tcPr>
          <w:p>
            <w:pPr>
              <w:pStyle w:val="7"/>
              <w:widowControl/>
              <w:numPr>
                <w:ilvl w:val="-1"/>
                <w:numId w:val="0"/>
              </w:numPr>
              <w:adjustRightInd w:val="0"/>
              <w:snapToGrid w:val="0"/>
              <w:spacing w:line="360" w:lineRule="exact"/>
              <w:jc w:val="center"/>
              <w:rPr>
                <w:rFonts w:hAnsi="宋体" w:cs="宋体"/>
                <w:b w:val="0"/>
                <w:bCs/>
                <w:color w:val="auto"/>
                <w:sz w:val="24"/>
                <w:highlight w:val="none"/>
              </w:rPr>
            </w:pPr>
            <w:r>
              <w:rPr>
                <w:rFonts w:hAnsi="宋体" w:cs="宋体"/>
                <w:bCs/>
                <w:color w:val="auto"/>
                <w:sz w:val="24"/>
                <w:highlight w:val="none"/>
              </w:rPr>
              <w:t>对代建管理的理解</w:t>
            </w:r>
          </w:p>
        </w:tc>
        <w:tc>
          <w:tcPr>
            <w:tcW w:w="6598" w:type="dxa"/>
            <w:vAlign w:val="center"/>
          </w:tcPr>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 “天沐河北岸（依依桥至思思桥段）市政配套设施微改造项目” 核心需求及代建全流程要求，编制对代建管理的理解方案，核心内容应包括但不限于</w:t>
            </w:r>
            <w:r>
              <w:rPr>
                <w:rFonts w:hint="eastAsia" w:hAnsi="宋体" w:cs="宋体"/>
                <w:bCs/>
                <w:color w:val="auto"/>
                <w:sz w:val="24"/>
                <w:highlight w:val="none"/>
                <w:lang w:eastAsia="zh-CN"/>
              </w:rPr>
              <w:t>：</w:t>
            </w:r>
            <w:r>
              <w:rPr>
                <w:rFonts w:hint="eastAsia" w:hAnsi="宋体" w:cs="宋体"/>
                <w:bCs/>
                <w:color w:val="auto"/>
                <w:sz w:val="24"/>
                <w:highlight w:val="none"/>
              </w:rPr>
              <w:t>①对项目总体的认识；②重点难点分析；③代建前期 + 建设实施阶段核心的把握；④合规性管控重点识别；⑤廉政合规要求认知；⑥多方协同（采购人/使用单位/参建方）规划等内容。</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①对项目</w:t>
            </w:r>
            <w:r>
              <w:rPr>
                <w:rFonts w:hint="eastAsia" w:hAnsi="宋体" w:cs="宋体"/>
                <w:bCs/>
                <w:color w:val="auto"/>
                <w:sz w:val="24"/>
                <w:highlight w:val="none"/>
                <w:lang w:val="en-US" w:eastAsia="zh-CN"/>
              </w:rPr>
              <w:t>总体认识</w:t>
            </w:r>
            <w:r>
              <w:rPr>
                <w:rFonts w:hint="eastAsia" w:hAnsi="宋体" w:cs="宋体"/>
                <w:bCs/>
                <w:color w:val="auto"/>
                <w:sz w:val="24"/>
                <w:highlight w:val="none"/>
              </w:rPr>
              <w:t>精准，充分从代建管理的角度出发；②重点难点分析科学合理，并提出了有针对性的解决措施；③代建前期 + 建设实施阶段核心的把握准确，不同阶段的核心内容清晰；④合规性管控重点识别清晰，管控措施到位；⑤廉政合规要求认知深刻，措施明确；⑥多方协同（采购人/使用单位/参建方）规划合理，兼顾了各方的定位和责任。</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针对上述量化指标（共6项量化指标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每项指标满分1.5分</w:t>
            </w:r>
            <w:r>
              <w:rPr>
                <w:rFonts w:hint="eastAsia" w:hAnsi="宋体" w:cs="宋体"/>
                <w:bCs/>
                <w:color w:val="auto"/>
                <w:sz w:val="24"/>
                <w:highlight w:val="none"/>
              </w:rPr>
              <w:t>）逐一评审打分，具体评审标准如下：</w:t>
            </w:r>
          </w:p>
          <w:p>
            <w:pPr>
              <w:pStyle w:val="7"/>
              <w:numPr>
                <w:ilvl w:val="0"/>
                <w:numId w:val="2"/>
              </w:numPr>
              <w:adjustRightInd w:val="0"/>
              <w:snapToGrid w:val="0"/>
              <w:spacing w:line="360" w:lineRule="exact"/>
              <w:ind w:left="120"/>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得1.5分；</w:t>
            </w:r>
          </w:p>
          <w:p>
            <w:pPr>
              <w:pStyle w:val="7"/>
              <w:numPr>
                <w:ilvl w:val="0"/>
                <w:numId w:val="2"/>
              </w:numPr>
              <w:adjustRightInd w:val="0"/>
              <w:snapToGrid w:val="0"/>
              <w:spacing w:line="360" w:lineRule="exact"/>
              <w:ind w:left="120"/>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2"/>
              </w:numPr>
              <w:adjustRightInd w:val="0"/>
              <w:snapToGrid w:val="0"/>
              <w:spacing w:line="360" w:lineRule="exact"/>
              <w:ind w:left="120"/>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ascii="宋体" w:cs="宋体"/>
                <w:color w:val="auto"/>
                <w:kern w:val="0"/>
                <w:sz w:val="24"/>
                <w:highlight w:val="none"/>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rFonts w:hAnsi="宋体" w:cs="宋体"/>
                <w:b/>
                <w:bCs/>
                <w:color w:val="auto"/>
                <w:sz w:val="24"/>
                <w:highlight w:val="none"/>
              </w:rPr>
            </w:pPr>
            <w:r>
              <w:rPr>
                <w:sz w:val="24"/>
                <w:highlight w:val="none"/>
              </w:rPr>
              <w:t>对</w:t>
            </w:r>
            <w:r>
              <w:rPr>
                <w:rFonts w:hint="eastAsia"/>
                <w:sz w:val="24"/>
                <w:highlight w:val="none"/>
                <w:lang w:val="en-US" w:eastAsia="zh-CN"/>
              </w:rPr>
              <w:t>横琴粤澳深度合作区（下称“合作区”）</w:t>
            </w:r>
            <w:r>
              <w:rPr>
                <w:sz w:val="24"/>
                <w:highlight w:val="none"/>
              </w:rPr>
              <w:t>建设项目的行政</w:t>
            </w:r>
            <w:r>
              <w:rPr>
                <w:rFonts w:ascii="Times New Roman" w:hAnsi="Times New Roman" w:cs="Times New Roman"/>
                <w:sz w:val="24"/>
                <w:highlight w:val="none"/>
              </w:rPr>
              <w:t>审批和监管流程的</w:t>
            </w:r>
            <w:r>
              <w:rPr>
                <w:sz w:val="24"/>
                <w:highlight w:val="none"/>
              </w:rPr>
              <w:t>了解</w:t>
            </w:r>
          </w:p>
        </w:tc>
        <w:tc>
          <w:tcPr>
            <w:tcW w:w="6598" w:type="dxa"/>
            <w:vAlign w:val="center"/>
          </w:tcPr>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报建报批及监管要求，编制对合作区相关流程的了解方案，核心内容应包括但不限于：①各类审批流程（施工图审查、施工许可等）；②工程变更审批权限及流程；③竣工备案核心要求；④资金支付监管规则等内容。</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各类审批流程（施工图审查、施工许可等）清晰严谨，节点清晰，具有可操作性；②工程变更审批权限及流程清晰严谨，节点清晰，具有可操作性；③竣工备案核心要求明确，备案内容、责任部门，时间要求等明确；④资金支付监管规则合理，审批流程、责任部门完善。</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针对上述量化指标（共4项量化指标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每项指标满分1分</w:t>
            </w:r>
            <w:r>
              <w:rPr>
                <w:rFonts w:hint="eastAsia" w:hAnsi="宋体" w:cs="宋体"/>
                <w:bCs/>
                <w:color w:val="auto"/>
                <w:sz w:val="24"/>
                <w:highlight w:val="none"/>
              </w:rPr>
              <w:t>）逐一评审打分，具体评审标准如下：</w:t>
            </w:r>
          </w:p>
          <w:p>
            <w:pPr>
              <w:pStyle w:val="7"/>
              <w:numPr>
                <w:ilvl w:val="0"/>
                <w:numId w:val="3"/>
              </w:numPr>
              <w:adjustRightInd w:val="0"/>
              <w:snapToGrid w:val="0"/>
              <w:spacing w:line="360" w:lineRule="exact"/>
              <w:ind w:left="120"/>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3"/>
              </w:numPr>
              <w:adjustRightInd w:val="0"/>
              <w:snapToGrid w:val="0"/>
              <w:spacing w:line="360" w:lineRule="exact"/>
              <w:ind w:left="120"/>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得0.5分；</w:t>
            </w:r>
          </w:p>
          <w:p>
            <w:pPr>
              <w:pStyle w:val="7"/>
              <w:numPr>
                <w:ilvl w:val="0"/>
                <w:numId w:val="3"/>
              </w:numPr>
              <w:adjustRightInd w:val="0"/>
              <w:snapToGrid w:val="0"/>
              <w:spacing w:line="360" w:lineRule="exact"/>
              <w:ind w:left="120"/>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rFonts w:hint="default" w:ascii="Times New Roman" w:hAnsi="Times New Roman" w:eastAsia="宋体" w:cs="Times New Roman"/>
                <w:sz w:val="24"/>
                <w:highlight w:val="none"/>
                <w:lang w:val="en-US" w:eastAsia="zh-CN"/>
              </w:rPr>
            </w:pPr>
            <w:r>
              <w:rPr>
                <w:rFonts w:hint="eastAsia" w:cs="Times New Roman"/>
                <w:sz w:val="24"/>
                <w:highlight w:val="none"/>
                <w:lang w:val="en-US" w:eastAsia="zh-CN"/>
              </w:rPr>
              <w:t>对促进粤澳融合的理解</w:t>
            </w:r>
          </w:p>
        </w:tc>
        <w:tc>
          <w:tcPr>
            <w:tcW w:w="6598" w:type="dxa"/>
            <w:vAlign w:val="center"/>
          </w:tcPr>
          <w:p>
            <w:pPr>
              <w:pStyle w:val="7"/>
              <w:widowControl/>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横琴粤澳深度合作区区位属性，落实《横琴粤澳深度合作区建设总体方案》《横琴粤澳深度合作区总体发展规划》要求，围绕粤澳深度融合、琴澳一体化发展目标，编制对促进粤澳融合的理解方案，核心内容应包括但不限于</w:t>
            </w:r>
            <w:r>
              <w:rPr>
                <w:rFonts w:hint="eastAsia" w:hAnsi="宋体" w:cs="宋体"/>
                <w:bCs/>
                <w:color w:val="auto"/>
                <w:sz w:val="24"/>
                <w:highlight w:val="none"/>
                <w:lang w:eastAsia="zh-CN"/>
              </w:rPr>
              <w:t>：</w:t>
            </w:r>
            <w:r>
              <w:rPr>
                <w:rFonts w:hint="eastAsia" w:hAnsi="宋体" w:cs="宋体"/>
                <w:bCs/>
                <w:color w:val="auto"/>
                <w:sz w:val="24"/>
                <w:highlight w:val="none"/>
              </w:rPr>
              <w:t>①对粤澳融合政策认知；②粤澳人才与行业要素协同；③项目赋能粤澳融合发展举措等内容。</w:t>
            </w:r>
          </w:p>
          <w:p>
            <w:pPr>
              <w:pStyle w:val="7"/>
              <w:widowControl/>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①对粤澳融合政策认知准确，深刻理解琴澳一体化发展导向；②对粤澳人才交流、工程行业要素联动分析科学合理，协同举措具备实操性；③立足</w:t>
            </w:r>
            <w:r>
              <w:rPr>
                <w:rFonts w:hint="eastAsia" w:hAnsi="宋体" w:cs="宋体"/>
                <w:bCs/>
                <w:color w:val="auto"/>
                <w:sz w:val="24"/>
                <w:highlight w:val="none"/>
                <w:lang w:val="en-US" w:eastAsia="zh-CN"/>
              </w:rPr>
              <w:t>本</w:t>
            </w:r>
            <w:r>
              <w:rPr>
                <w:rFonts w:hint="eastAsia" w:hAnsi="宋体" w:cs="宋体"/>
                <w:bCs/>
                <w:color w:val="auto"/>
                <w:sz w:val="24"/>
                <w:highlight w:val="none"/>
              </w:rPr>
              <w:t>项目载体属性，提出贴合市政改造的赋能举措，使代建工作实施推动琴澳融合工作落地。</w:t>
            </w:r>
          </w:p>
          <w:p>
            <w:pPr>
              <w:pStyle w:val="7"/>
              <w:widowControl/>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针对上述量化指标（共3项量化指标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每项指标满分3分</w:t>
            </w:r>
            <w:r>
              <w:rPr>
                <w:rFonts w:hint="eastAsia" w:hAnsi="宋体" w:cs="宋体"/>
                <w:bCs/>
                <w:color w:val="auto"/>
                <w:sz w:val="24"/>
                <w:highlight w:val="none"/>
              </w:rPr>
              <w:t>）逐一评审打分，具体评审标准如下：</w:t>
            </w:r>
          </w:p>
          <w:p>
            <w:pPr>
              <w:pStyle w:val="7"/>
              <w:widowControl/>
              <w:numPr>
                <w:ilvl w:val="0"/>
                <w:numId w:val="4"/>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得3分；</w:t>
            </w:r>
          </w:p>
          <w:p>
            <w:pPr>
              <w:pStyle w:val="7"/>
              <w:widowControl/>
              <w:numPr>
                <w:ilvl w:val="0"/>
                <w:numId w:val="4"/>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得1.5分；</w:t>
            </w:r>
          </w:p>
          <w:p>
            <w:pPr>
              <w:pStyle w:val="7"/>
              <w:widowControl/>
              <w:numPr>
                <w:ilvl w:val="0"/>
                <w:numId w:val="4"/>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9分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sz w:val="24"/>
                <w:highlight w:val="none"/>
              </w:rPr>
            </w:pPr>
            <w:r>
              <w:rPr>
                <w:rFonts w:ascii="Times New Roman" w:hAnsi="Times New Roman" w:cs="Times New Roman"/>
                <w:sz w:val="24"/>
                <w:highlight w:val="none"/>
              </w:rPr>
              <w:t>项目投资控制管理方案和措施</w:t>
            </w:r>
          </w:p>
        </w:tc>
        <w:tc>
          <w:tcPr>
            <w:tcW w:w="6598" w:type="dxa"/>
            <w:vAlign w:val="center"/>
          </w:tcPr>
          <w:p>
            <w:pPr>
              <w:pStyle w:val="7"/>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投资控制目标及《政府投资条例》要求，编制专项管理方案，核心措施包括但不限于：①概预算动态跟踪机制；②工程变更审核流程；③变更限额管控；④投资核减率达标措施；⑤超付风险防控等内容。</w:t>
            </w:r>
          </w:p>
          <w:p>
            <w:pPr>
              <w:pStyle w:val="7"/>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
                <w:bCs w:val="0"/>
                <w:color w:val="auto"/>
                <w:sz w:val="24"/>
                <w:highlight w:val="none"/>
                <w:lang w:eastAsia="zh-CN"/>
              </w:rPr>
              <w:t>：</w:t>
            </w:r>
            <w:r>
              <w:rPr>
                <w:rFonts w:hint="eastAsia" w:hAnsi="宋体" w:cs="宋体"/>
                <w:bCs/>
                <w:color w:val="auto"/>
                <w:sz w:val="24"/>
                <w:highlight w:val="none"/>
              </w:rPr>
              <w:t>①概预算动态跟踪机制健全，具有可操作性；②工程变更审核流程完整规范，具有可操作性；③变更限额管控要求落实到位，具有可操作性；④投资核减率保障措施可行，内容全面；⑤超付风险防控举措可行，内容全面。</w:t>
            </w:r>
          </w:p>
          <w:p>
            <w:pPr>
              <w:pStyle w:val="7"/>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针对上述量化指标（共5项量化指标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每项指标满分1分</w:t>
            </w:r>
            <w:r>
              <w:rPr>
                <w:rFonts w:hint="eastAsia" w:hAnsi="宋体" w:cs="宋体"/>
                <w:bCs/>
                <w:color w:val="auto"/>
                <w:sz w:val="24"/>
                <w:highlight w:val="none"/>
              </w:rPr>
              <w:t>）逐一评审打分，具体评审标准如下：</w:t>
            </w:r>
          </w:p>
          <w:p>
            <w:pPr>
              <w:pStyle w:val="7"/>
              <w:numPr>
                <w:ilvl w:val="0"/>
                <w:numId w:val="5"/>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5"/>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得0.5分；</w:t>
            </w:r>
          </w:p>
          <w:p>
            <w:pPr>
              <w:pStyle w:val="7"/>
              <w:numPr>
                <w:ilvl w:val="0"/>
                <w:numId w:val="5"/>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rFonts w:ascii="Times New Roman" w:hAnsi="Times New Roman" w:cs="Times New Roman"/>
                <w:sz w:val="24"/>
                <w:highlight w:val="none"/>
              </w:rPr>
            </w:pPr>
            <w:r>
              <w:rPr>
                <w:rFonts w:ascii="Times New Roman" w:hAnsi="Times New Roman" w:cs="Times New Roman"/>
                <w:sz w:val="24"/>
                <w:highlight w:val="none"/>
              </w:rPr>
              <w:t>项目质量管理方案和措施</w:t>
            </w:r>
          </w:p>
        </w:tc>
        <w:tc>
          <w:tcPr>
            <w:tcW w:w="6598" w:type="dxa"/>
            <w:vAlign w:val="center"/>
          </w:tcPr>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供应商根据本项目质量控制要求及国家/行业/地方验收标准，编制项目质量管理方案和措施，核心措施应包括但不限于</w:t>
            </w:r>
            <w:r>
              <w:rPr>
                <w:rFonts w:hint="eastAsia" w:hAnsi="宋体" w:cs="宋体"/>
                <w:bCs/>
                <w:color w:val="auto"/>
                <w:sz w:val="24"/>
                <w:highlight w:val="none"/>
                <w:lang w:eastAsia="zh-CN"/>
              </w:rPr>
              <w:t>：</w:t>
            </w:r>
            <w:r>
              <w:rPr>
                <w:rFonts w:hint="eastAsia" w:hAnsi="宋体" w:cs="宋体"/>
                <w:bCs/>
                <w:color w:val="auto"/>
                <w:sz w:val="24"/>
                <w:highlight w:val="none"/>
              </w:rPr>
              <w:t>①标准落实机制；②关键工序及隐蔽工程举牌验收流程；③质量追溯档案建立；④保修管理机制；⑤竣工验收与移交流程等内容。</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从代建项目实际需要出发，落实标准机制；②关键工序及隐蔽工程举牌验收流程严谨，内容全面；③质量追溯档案建立完整、具有动态性、科学性、时效性；④保修管理机制完整，时间要求、考核要求、付款要求等明确；⑤竣工验收与移交流程规范、完整。</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针对上述量化指标（共5项量化指标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每项指标满分1分</w:t>
            </w:r>
            <w:r>
              <w:rPr>
                <w:rFonts w:hint="eastAsia" w:hAnsi="宋体" w:cs="宋体"/>
                <w:bCs/>
                <w:color w:val="auto"/>
                <w:sz w:val="24"/>
                <w:highlight w:val="none"/>
              </w:rPr>
              <w:t>）逐一评审打分，具体评审标准如下：</w:t>
            </w:r>
          </w:p>
          <w:p>
            <w:pPr>
              <w:pStyle w:val="7"/>
              <w:numPr>
                <w:ilvl w:val="0"/>
                <w:numId w:val="6"/>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6"/>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得0.5分；</w:t>
            </w:r>
          </w:p>
          <w:p>
            <w:pPr>
              <w:pStyle w:val="7"/>
              <w:numPr>
                <w:ilvl w:val="0"/>
                <w:numId w:val="6"/>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rFonts w:ascii="Times New Roman" w:hAnsi="Times New Roman" w:cs="Times New Roman"/>
                <w:sz w:val="24"/>
                <w:highlight w:val="none"/>
              </w:rPr>
            </w:pPr>
            <w:r>
              <w:rPr>
                <w:rFonts w:ascii="Times New Roman" w:hAnsi="Times New Roman" w:cs="Times New Roman"/>
                <w:sz w:val="24"/>
                <w:highlight w:val="none"/>
              </w:rPr>
              <w:t>项目安全文明施工管理方案和措施</w:t>
            </w:r>
          </w:p>
        </w:tc>
        <w:tc>
          <w:tcPr>
            <w:tcW w:w="6598" w:type="dxa"/>
            <w:vAlign w:val="center"/>
          </w:tcPr>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安全文明控制目标，编制专项管理方案，核心措施应包括但不限于：①亡人事故零目标落实；②大气污染防治“6个100%”执行；③地下管线及周边构筑物保护；④安全应急预案；⑤文明施工专项方案等内容。</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①亡人事故零目标落实到位，控制措施严谨；②大气污染防治 “6个100%” 执行措施严谨；③地下管线及周边构筑物保护措施合理；④安全应急预案科学严谨，人员、设备等响应机制合理；⑤文明施工专项方案可行。</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针对上述量化指标（共5项量化指标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每项指标满分1分</w:t>
            </w:r>
            <w:r>
              <w:rPr>
                <w:rFonts w:hint="eastAsia" w:hAnsi="宋体" w:cs="宋体"/>
                <w:bCs/>
                <w:color w:val="auto"/>
                <w:sz w:val="24"/>
                <w:highlight w:val="none"/>
              </w:rPr>
              <w:t>）逐一评审打分，具体评审标准如下：</w:t>
            </w:r>
          </w:p>
          <w:p>
            <w:pPr>
              <w:pStyle w:val="7"/>
              <w:numPr>
                <w:ilvl w:val="0"/>
                <w:numId w:val="7"/>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7"/>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得0.5分；</w:t>
            </w:r>
          </w:p>
          <w:p>
            <w:pPr>
              <w:pStyle w:val="7"/>
              <w:numPr>
                <w:ilvl w:val="0"/>
                <w:numId w:val="7"/>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sz w:val="24"/>
                <w:highlight w:val="none"/>
              </w:rPr>
            </w:pPr>
            <w:r>
              <w:rPr>
                <w:rFonts w:ascii="Times New Roman" w:hAnsi="Times New Roman" w:cs="Times New Roman"/>
                <w:sz w:val="24"/>
                <w:highlight w:val="none"/>
              </w:rPr>
              <w:t>项目工期安排及保证措施</w:t>
            </w:r>
          </w:p>
        </w:tc>
        <w:tc>
          <w:tcPr>
            <w:tcW w:w="6598" w:type="dxa"/>
            <w:vAlign w:val="center"/>
          </w:tcPr>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供应商根据本项目总工期（合同生效至竣工备案）要求，编制项目工期安排及保证措施方案，核心措施应包括但不限于</w:t>
            </w:r>
            <w:r>
              <w:rPr>
                <w:rFonts w:hint="eastAsia" w:hAnsi="宋体" w:cs="宋体"/>
                <w:bCs/>
                <w:color w:val="auto"/>
                <w:sz w:val="24"/>
                <w:highlight w:val="none"/>
                <w:lang w:eastAsia="zh-CN"/>
              </w:rPr>
              <w:t>：</w:t>
            </w:r>
            <w:r>
              <w:rPr>
                <w:rFonts w:hint="eastAsia" w:hAnsi="宋体" w:cs="宋体"/>
                <w:bCs/>
                <w:color w:val="auto"/>
                <w:sz w:val="24"/>
                <w:highlight w:val="none"/>
              </w:rPr>
              <w:t xml:space="preserve">①前期工作时间分解（合同生效至开工）；②施工工期细化（开工至竣工）；③竣工备案限期完成保障；④关键节点管控；⑤进度协调；⑥异常情况工期调整机制等内容。 </w:t>
            </w:r>
          </w:p>
          <w:p>
            <w:pPr>
              <w:pStyle w:val="7"/>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前期工作时间分解（合同生效至开工）详细完整，各节点清晰明确；②施工工期细化（开工至竣工）详细完整，各节点清晰明确；③竣工备案限期完成保障到位，措施详细，可行；④关键节点管控严谨，措施明确；⑤进度协调科学可行，措施明确；⑥异常情况工期调整机制科学可行，措施明确。</w:t>
            </w:r>
          </w:p>
          <w:p>
            <w:pPr>
              <w:pStyle w:val="7"/>
              <w:numPr>
                <w:ilvl w:val="0"/>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针对上述量化指标（共6项量化指标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每项指标满分1分</w:t>
            </w:r>
            <w:r>
              <w:rPr>
                <w:rFonts w:hint="eastAsia" w:hAnsi="宋体" w:cs="宋体"/>
                <w:bCs/>
                <w:color w:val="auto"/>
                <w:sz w:val="24"/>
                <w:highlight w:val="none"/>
              </w:rPr>
              <w:t>）逐一评审打分，具体评审标准如下：</w:t>
            </w:r>
          </w:p>
          <w:p>
            <w:pPr>
              <w:pStyle w:val="7"/>
              <w:numPr>
                <w:ilvl w:val="0"/>
                <w:numId w:val="8"/>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8"/>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得0.5分；</w:t>
            </w:r>
          </w:p>
          <w:p>
            <w:pPr>
              <w:pStyle w:val="7"/>
              <w:numPr>
                <w:ilvl w:val="0"/>
                <w:numId w:val="8"/>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10" w:hRule="atLeast"/>
          <w:jc w:val="center"/>
        </w:trPr>
        <w:tc>
          <w:tcPr>
            <w:tcW w:w="701" w:type="dxa"/>
            <w:vMerge w:val="continue"/>
            <w:vAlign w:val="center"/>
          </w:tcPr>
          <w:p>
            <w:pPr>
              <w:widowControl/>
              <w:jc w:val="center"/>
              <w:rPr>
                <w:rFonts w:ascii="宋体" w:cs="宋体"/>
                <w:color w:val="auto"/>
                <w:kern w:val="0"/>
                <w:sz w:val="24"/>
                <w:highlight w:val="none"/>
              </w:rPr>
            </w:pPr>
          </w:p>
        </w:tc>
        <w:tc>
          <w:tcPr>
            <w:tcW w:w="1072" w:type="dxa"/>
            <w:vAlign w:val="center"/>
          </w:tcPr>
          <w:p>
            <w:pPr>
              <w:widowControl/>
              <w:jc w:val="center"/>
              <w:rPr>
                <w:rFonts w:ascii="Times New Roman" w:hAnsi="Times New Roman" w:cs="Times New Roman"/>
                <w:sz w:val="24"/>
                <w:highlight w:val="none"/>
              </w:rPr>
            </w:pPr>
            <w:r>
              <w:rPr>
                <w:rFonts w:ascii="Times New Roman" w:hAnsi="Times New Roman" w:cs="Times New Roman"/>
                <w:sz w:val="24"/>
                <w:highlight w:val="none"/>
              </w:rPr>
              <w:t>项目建设总体计划及人员管理方案</w:t>
            </w:r>
          </w:p>
        </w:tc>
        <w:tc>
          <w:tcPr>
            <w:tcW w:w="6598" w:type="dxa"/>
            <w:vAlign w:val="center"/>
          </w:tcPr>
          <w:p>
            <w:pPr>
              <w:pStyle w:val="7"/>
              <w:numPr>
                <w:ilvl w:val="-1"/>
                <w:numId w:val="0"/>
              </w:numPr>
              <w:adjustRightInd w:val="0"/>
              <w:snapToGrid w:val="0"/>
              <w:spacing w:line="360" w:lineRule="exact"/>
              <w:rPr>
                <w:rFonts w:hint="eastAsia" w:hAnsi="宋体" w:cs="宋体" w:eastAsiaTheme="minorEastAsia"/>
                <w:bCs/>
                <w:color w:val="auto"/>
                <w:sz w:val="24"/>
                <w:highlight w:val="none"/>
                <w:lang w:val="en-US" w:eastAsia="zh-CN"/>
              </w:rPr>
            </w:pPr>
            <w:r>
              <w:rPr>
                <w:rFonts w:hint="eastAsia" w:hAnsi="宋体" w:cs="宋体"/>
                <w:bCs/>
                <w:color w:val="auto"/>
                <w:sz w:val="24"/>
                <w:highlight w:val="none"/>
              </w:rPr>
              <w:t>供应商根据本项目建设全流程及人员配置要求，编制项目建设总体计划及人员管理方案，核心内容应包括但不限于</w:t>
            </w:r>
            <w:r>
              <w:rPr>
                <w:rFonts w:hint="eastAsia" w:hAnsi="宋体" w:cs="宋体"/>
                <w:bCs/>
                <w:color w:val="auto"/>
                <w:sz w:val="24"/>
                <w:highlight w:val="none"/>
                <w:lang w:eastAsia="zh-CN"/>
              </w:rPr>
              <w:t>：</w:t>
            </w:r>
            <w:r>
              <w:rPr>
                <w:rFonts w:hint="eastAsia" w:hAnsi="宋体" w:cs="宋体"/>
                <w:bCs/>
                <w:color w:val="auto"/>
                <w:sz w:val="24"/>
                <w:highlight w:val="none"/>
              </w:rPr>
              <w:t>①招标采购-前期管理-施工实施-竣工验收-结算决算的全流程衔接计划；②人员配置；③岗位职责划分；④人员轮换机制；⑤考核管理办法；⑥异常情况协同处置流程等内容。</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
                <w:bCs w:val="0"/>
                <w:color w:val="auto"/>
                <w:sz w:val="24"/>
                <w:highlight w:val="none"/>
              </w:rPr>
              <w:t>响应要求：</w:t>
            </w:r>
            <w:r>
              <w:rPr>
                <w:rFonts w:hint="eastAsia" w:hAnsi="宋体" w:cs="宋体"/>
                <w:bCs/>
                <w:color w:val="auto"/>
                <w:sz w:val="24"/>
                <w:highlight w:val="none"/>
              </w:rPr>
              <w:t>①招标采购-前期管理-施工实施-竣工验收-结算决算的全流程衔接计划落实到位，各节点清晰明确；②人员配置科学合理，保障措施合理；③岗位职责划分明确，分工合理；④人员轮换机制科学合理，具有可操作性；⑤考核管理办法内容严谨，具有可操作性；⑥异常情况协同处置流程严谨，责任落实到位，具有可操作性。</w:t>
            </w:r>
          </w:p>
          <w:p>
            <w:pPr>
              <w:pStyle w:val="7"/>
              <w:numPr>
                <w:ilvl w:val="-1"/>
                <w:numId w:val="0"/>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lang w:eastAsia="zh-CN"/>
              </w:rPr>
              <w:t>评审</w:t>
            </w:r>
            <w:r>
              <w:rPr>
                <w:rFonts w:hint="eastAsia" w:hAnsi="宋体" w:cs="宋体"/>
                <w:bCs/>
                <w:color w:val="auto"/>
                <w:sz w:val="24"/>
                <w:highlight w:val="none"/>
                <w:lang w:val="en-US" w:eastAsia="zh-CN"/>
              </w:rPr>
              <w:t>小组</w:t>
            </w:r>
            <w:r>
              <w:rPr>
                <w:rFonts w:hint="eastAsia" w:hAnsi="宋体" w:cs="宋体"/>
                <w:bCs/>
                <w:color w:val="auto"/>
                <w:sz w:val="24"/>
                <w:highlight w:val="none"/>
              </w:rPr>
              <w:t>针对上述量化指标（共6项量化指标</w:t>
            </w:r>
            <w:r>
              <w:rPr>
                <w:rFonts w:hint="eastAsia" w:hAnsi="宋体" w:cs="宋体"/>
                <w:bCs/>
                <w:color w:val="auto"/>
                <w:sz w:val="24"/>
                <w:highlight w:val="none"/>
                <w:lang w:eastAsia="zh-CN"/>
              </w:rPr>
              <w:t>，</w:t>
            </w:r>
            <w:r>
              <w:rPr>
                <w:rFonts w:hint="eastAsia" w:hAnsi="宋体" w:cs="宋体"/>
                <w:bCs/>
                <w:color w:val="auto"/>
                <w:sz w:val="24"/>
                <w:highlight w:val="none"/>
                <w:lang w:val="en-US" w:eastAsia="zh-CN"/>
              </w:rPr>
              <w:t>每项指标满分2分</w:t>
            </w:r>
            <w:r>
              <w:rPr>
                <w:rFonts w:hint="eastAsia" w:hAnsi="宋体" w:cs="宋体"/>
                <w:bCs/>
                <w:color w:val="auto"/>
                <w:sz w:val="24"/>
                <w:highlight w:val="none"/>
              </w:rPr>
              <w:t>）逐一评审打分，具体评审标准如下：</w:t>
            </w:r>
          </w:p>
          <w:p>
            <w:pPr>
              <w:pStyle w:val="7"/>
              <w:numPr>
                <w:ilvl w:val="0"/>
                <w:numId w:val="9"/>
              </w:numPr>
              <w:adjustRightInd w:val="0"/>
              <w:snapToGrid w:val="0"/>
              <w:spacing w:line="360" w:lineRule="exact"/>
              <w:rPr>
                <w:rFonts w:hint="eastAsia" w:hAnsi="宋体" w:cs="宋体"/>
                <w:bCs/>
                <w:color w:val="auto"/>
                <w:sz w:val="24"/>
                <w:highlight w:val="none"/>
              </w:rPr>
            </w:pPr>
            <w:r>
              <w:rPr>
                <w:rFonts w:hint="eastAsia" w:hAnsi="宋体" w:cs="宋体"/>
                <w:bCs/>
                <w:color w:val="auto"/>
                <w:sz w:val="24"/>
                <w:highlight w:val="none"/>
              </w:rPr>
              <w:t>对量化指标作出了明确响应，且响应内容完全满足或者优于该量化指标所对应的采购需求的，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得2分；</w:t>
            </w:r>
          </w:p>
          <w:p>
            <w:pPr>
              <w:pStyle w:val="7"/>
              <w:numPr>
                <w:ilvl w:val="0"/>
                <w:numId w:val="9"/>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对量化指标作出了明确响应，但响应内容不完全满足该量化指标所对应的采购需求的，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得1分；</w:t>
            </w:r>
          </w:p>
          <w:p>
            <w:pPr>
              <w:pStyle w:val="7"/>
              <w:numPr>
                <w:ilvl w:val="0"/>
                <w:numId w:val="9"/>
              </w:numPr>
              <w:adjustRightInd w:val="0"/>
              <w:snapToGrid w:val="0"/>
              <w:spacing w:line="360" w:lineRule="exact"/>
              <w:rPr>
                <w:rFonts w:hAnsi="宋体" w:cs="宋体"/>
                <w:bCs/>
                <w:color w:val="auto"/>
                <w:sz w:val="24"/>
                <w:highlight w:val="none"/>
              </w:rPr>
            </w:pPr>
            <w:r>
              <w:rPr>
                <w:rFonts w:hint="eastAsia" w:hAnsi="宋体" w:cs="宋体"/>
                <w:bCs/>
                <w:color w:val="auto"/>
                <w:sz w:val="24"/>
                <w:highlight w:val="none"/>
              </w:rPr>
              <w:t>未对量化指标作出响应；或者虽对该量化指标作出了响应但完全不能满足采购需求的，</w:t>
            </w:r>
            <w:r>
              <w:rPr>
                <w:rFonts w:hint="eastAsia" w:hAnsi="宋体" w:cs="宋体"/>
                <w:bCs/>
                <w:color w:val="auto"/>
                <w:sz w:val="24"/>
                <w:highlight w:val="none"/>
                <w:lang w:val="en-US" w:eastAsia="zh-CN"/>
              </w:rPr>
              <w:t>该项指标</w:t>
            </w:r>
            <w:r>
              <w:rPr>
                <w:rFonts w:hint="eastAsia" w:hAnsi="宋体" w:cs="宋体"/>
                <w:bCs/>
                <w:color w:val="auto"/>
                <w:sz w:val="24"/>
                <w:highlight w:val="none"/>
              </w:rPr>
              <w:t>得0分。</w:t>
            </w:r>
          </w:p>
        </w:tc>
        <w:tc>
          <w:tcPr>
            <w:tcW w:w="700" w:type="dxa"/>
            <w:vAlign w:val="center"/>
          </w:tcPr>
          <w:p>
            <w:pPr>
              <w:widowControl/>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90" w:hRule="atLeast"/>
          <w:jc w:val="center"/>
        </w:trPr>
        <w:tc>
          <w:tcPr>
            <w:tcW w:w="701" w:type="dxa"/>
            <w:vMerge w:val="restart"/>
            <w:vAlign w:val="center"/>
          </w:tcPr>
          <w:p>
            <w:pPr>
              <w:widowControl/>
              <w:jc w:val="left"/>
              <w:rPr>
                <w:rFonts w:ascii="宋体" w:cs="宋体"/>
                <w:color w:val="auto"/>
                <w:kern w:val="0"/>
                <w:sz w:val="24"/>
                <w:highlight w:val="none"/>
              </w:rPr>
            </w:pPr>
            <w:r>
              <w:rPr>
                <w:rFonts w:hint="eastAsia" w:ascii="宋体" w:hAnsi="宋体" w:cs="宋体"/>
                <w:bCs/>
                <w:color w:val="auto"/>
                <w:kern w:val="0"/>
                <w:sz w:val="24"/>
                <w:highlight w:val="none"/>
              </w:rPr>
              <w:t>商务部分</w:t>
            </w:r>
            <w:r>
              <w:rPr>
                <w:rFonts w:hint="eastAsia" w:ascii="宋体" w:hAnsi="宋体" w:cs="宋体"/>
                <w:bCs/>
                <w:color w:val="auto"/>
                <w:kern w:val="0"/>
                <w:sz w:val="24"/>
                <w:highlight w:val="none"/>
                <w:lang w:val="en-US" w:eastAsia="zh-CN"/>
              </w:rPr>
              <w:t>35</w:t>
            </w:r>
            <w:r>
              <w:rPr>
                <w:rFonts w:hint="eastAsia" w:ascii="宋体" w:hAnsi="宋体" w:cs="宋体"/>
                <w:bCs/>
                <w:color w:val="auto"/>
                <w:kern w:val="0"/>
                <w:sz w:val="24"/>
                <w:highlight w:val="none"/>
              </w:rPr>
              <w:t>分</w:t>
            </w:r>
          </w:p>
        </w:tc>
        <w:tc>
          <w:tcPr>
            <w:tcW w:w="1072" w:type="dxa"/>
            <w:vAlign w:val="center"/>
          </w:tcPr>
          <w:p>
            <w:pPr>
              <w:widowControl/>
              <w:jc w:val="center"/>
              <w:rPr>
                <w:rFonts w:hint="default" w:hAnsi="宋体" w:cs="宋体" w:asciiTheme="minorEastAsia" w:eastAsiaTheme="minorEastAsia"/>
                <w:bCs/>
                <w:color w:val="auto"/>
                <w:kern w:val="2"/>
                <w:sz w:val="24"/>
                <w:highlight w:val="none"/>
                <w:lang w:val="en-US" w:eastAsia="zh-CN"/>
              </w:rPr>
            </w:pPr>
            <w:r>
              <w:rPr>
                <w:rFonts w:hint="default" w:hAnsi="宋体" w:cs="宋体" w:asciiTheme="minorEastAsia" w:eastAsiaTheme="minorEastAsia"/>
                <w:bCs/>
                <w:color w:val="auto"/>
                <w:sz w:val="24"/>
                <w:highlight w:val="none"/>
                <w:lang w:val="en-US" w:eastAsia="zh-CN"/>
              </w:rPr>
              <w:t>相关业绩</w:t>
            </w:r>
          </w:p>
        </w:tc>
        <w:tc>
          <w:tcPr>
            <w:tcW w:w="6598" w:type="dxa"/>
            <w:vAlign w:val="center"/>
          </w:tcPr>
          <w:p>
            <w:pPr>
              <w:widowControl/>
              <w:jc w:val="both"/>
              <w:rPr>
                <w:rFonts w:hAnsi="宋体" w:cs="宋体" w:asciiTheme="minorEastAsia" w:eastAsiaTheme="minorEastAsia"/>
                <w:bCs/>
                <w:color w:val="auto"/>
                <w:kern w:val="2"/>
                <w:sz w:val="24"/>
                <w:szCs w:val="24"/>
                <w:highlight w:val="none"/>
                <w:lang w:val="en-US" w:eastAsia="zh-CN" w:bidi="ar-SA"/>
              </w:rPr>
            </w:pPr>
            <w:r>
              <w:rPr>
                <w:rFonts w:hint="default" w:hAnsi="宋体" w:cs="宋体" w:asciiTheme="minorEastAsia" w:eastAsiaTheme="minorEastAsia"/>
                <w:bCs/>
                <w:color w:val="auto"/>
                <w:sz w:val="24"/>
                <w:highlight w:val="none"/>
                <w:lang w:val="en-US" w:eastAsia="zh-CN"/>
              </w:rPr>
              <w:t>供应商</w:t>
            </w:r>
            <w:r>
              <w:rPr>
                <w:rFonts w:hint="eastAsia" w:hAnsi="宋体" w:cs="宋体" w:asciiTheme="minorEastAsia" w:eastAsiaTheme="minorEastAsia"/>
                <w:bCs/>
                <w:color w:val="auto"/>
                <w:kern w:val="2"/>
                <w:sz w:val="24"/>
                <w:szCs w:val="24"/>
                <w:highlight w:val="none"/>
                <w:lang w:val="en-US" w:eastAsia="zh-CN" w:bidi="ar-SA"/>
              </w:rPr>
              <w:t>自2021年8月1日以来（以合同签订时间为准）</w:t>
            </w:r>
            <w:r>
              <w:rPr>
                <w:rFonts w:hAnsi="宋体" w:cs="宋体" w:asciiTheme="minorEastAsia" w:eastAsiaTheme="minorEastAsia"/>
                <w:bCs/>
                <w:color w:val="auto"/>
                <w:kern w:val="2"/>
                <w:sz w:val="24"/>
                <w:szCs w:val="24"/>
                <w:highlight w:val="none"/>
                <w:lang w:val="en-US" w:eastAsia="zh-CN" w:bidi="ar-SA"/>
              </w:rPr>
              <w:t>承接过</w:t>
            </w:r>
            <w:r>
              <w:rPr>
                <w:rFonts w:hint="eastAsia" w:hAnsi="宋体" w:cs="宋体" w:asciiTheme="minorEastAsia" w:eastAsiaTheme="minorEastAsia"/>
                <w:bCs/>
                <w:color w:val="auto"/>
                <w:kern w:val="2"/>
                <w:sz w:val="24"/>
                <w:szCs w:val="24"/>
                <w:highlight w:val="none"/>
                <w:lang w:val="en-US" w:eastAsia="zh-CN" w:bidi="ar-SA"/>
              </w:rPr>
              <w:t>市政工程</w:t>
            </w:r>
            <w:r>
              <w:rPr>
                <w:rFonts w:hAnsi="宋体" w:cs="宋体" w:asciiTheme="minorEastAsia" w:eastAsiaTheme="minorEastAsia"/>
                <w:bCs/>
                <w:color w:val="auto"/>
                <w:kern w:val="2"/>
                <w:sz w:val="24"/>
                <w:szCs w:val="24"/>
                <w:highlight w:val="none"/>
                <w:lang w:val="en-US" w:eastAsia="zh-CN" w:bidi="ar-SA"/>
              </w:rPr>
              <w:t>代建</w:t>
            </w:r>
            <w:r>
              <w:rPr>
                <w:rFonts w:hint="eastAsia" w:hAnsi="宋体" w:cs="宋体" w:asciiTheme="minorEastAsia" w:eastAsiaTheme="minorEastAsia"/>
                <w:bCs/>
                <w:color w:val="auto"/>
                <w:kern w:val="2"/>
                <w:sz w:val="24"/>
                <w:szCs w:val="24"/>
                <w:highlight w:val="none"/>
                <w:lang w:val="en-US" w:eastAsia="zh-CN" w:bidi="ar-SA"/>
              </w:rPr>
              <w:t>或项目（工程）管理或监理或施工或全过程咨询</w:t>
            </w:r>
            <w:r>
              <w:rPr>
                <w:rFonts w:hAnsi="宋体" w:cs="宋体" w:asciiTheme="minorEastAsia" w:eastAsiaTheme="minorEastAsia"/>
                <w:bCs/>
                <w:color w:val="auto"/>
                <w:kern w:val="2"/>
                <w:sz w:val="24"/>
                <w:szCs w:val="24"/>
                <w:highlight w:val="none"/>
                <w:lang w:val="en-US" w:eastAsia="zh-CN" w:bidi="ar-SA"/>
              </w:rPr>
              <w:t>业绩的，每提供一份有效业绩得</w:t>
            </w:r>
            <w:r>
              <w:rPr>
                <w:rFonts w:hint="eastAsia" w:hAnsi="宋体" w:cs="宋体" w:asciiTheme="minorEastAsia" w:eastAsiaTheme="minorEastAsia"/>
                <w:bCs/>
                <w:color w:val="auto"/>
                <w:kern w:val="2"/>
                <w:sz w:val="24"/>
                <w:szCs w:val="24"/>
                <w:highlight w:val="none"/>
                <w:lang w:val="en-US" w:eastAsia="zh-CN" w:bidi="ar-SA"/>
              </w:rPr>
              <w:t>5</w:t>
            </w:r>
            <w:r>
              <w:rPr>
                <w:rFonts w:hAnsi="宋体" w:cs="宋体" w:asciiTheme="minorEastAsia" w:eastAsiaTheme="minorEastAsia"/>
                <w:bCs/>
                <w:color w:val="auto"/>
                <w:kern w:val="2"/>
                <w:sz w:val="24"/>
                <w:szCs w:val="24"/>
                <w:highlight w:val="none"/>
                <w:lang w:val="en-US" w:eastAsia="zh-CN" w:bidi="ar-SA"/>
              </w:rPr>
              <w:t>分，本项满分</w:t>
            </w:r>
            <w:r>
              <w:rPr>
                <w:rFonts w:hint="eastAsia" w:hAnsi="宋体" w:cs="宋体" w:asciiTheme="minorEastAsia" w:eastAsiaTheme="minorEastAsia"/>
                <w:bCs/>
                <w:color w:val="auto"/>
                <w:kern w:val="2"/>
                <w:sz w:val="24"/>
                <w:szCs w:val="24"/>
                <w:highlight w:val="none"/>
                <w:lang w:val="en-US" w:eastAsia="zh-CN" w:bidi="ar-SA"/>
              </w:rPr>
              <w:t>20</w:t>
            </w:r>
            <w:r>
              <w:rPr>
                <w:rFonts w:hAnsi="宋体" w:cs="宋体" w:asciiTheme="minorEastAsia" w:eastAsiaTheme="minorEastAsia"/>
                <w:bCs/>
                <w:color w:val="auto"/>
                <w:kern w:val="2"/>
                <w:sz w:val="24"/>
                <w:szCs w:val="24"/>
                <w:highlight w:val="none"/>
                <w:lang w:val="en-US" w:eastAsia="zh-CN" w:bidi="ar-SA"/>
              </w:rPr>
              <w:t>分。</w:t>
            </w:r>
          </w:p>
          <w:p>
            <w:pPr>
              <w:widowControl/>
              <w:jc w:val="both"/>
              <w:rPr>
                <w:rFonts w:hAnsi="宋体" w:cs="宋体" w:asciiTheme="minorEastAsia" w:eastAsiaTheme="minorEastAsia"/>
                <w:bCs/>
                <w:color w:val="auto"/>
                <w:sz w:val="24"/>
                <w:highlight w:val="none"/>
                <w:lang w:val="en-US" w:eastAsia="zh-CN"/>
              </w:rPr>
            </w:pPr>
            <w:r>
              <w:rPr>
                <w:rFonts w:hAnsi="宋体" w:cs="宋体" w:asciiTheme="minorEastAsia" w:eastAsiaTheme="minorEastAsia"/>
                <w:bCs/>
                <w:color w:val="auto"/>
                <w:kern w:val="2"/>
                <w:sz w:val="24"/>
                <w:szCs w:val="24"/>
                <w:highlight w:val="none"/>
                <w:lang w:val="en-US" w:eastAsia="zh-CN" w:bidi="ar-SA"/>
              </w:rPr>
              <w:t>注：</w:t>
            </w:r>
          </w:p>
          <w:p>
            <w:pPr>
              <w:pStyle w:val="7"/>
              <w:numPr>
                <w:ilvl w:val="0"/>
                <w:numId w:val="0"/>
              </w:numPr>
              <w:adjustRightInd w:val="0"/>
              <w:snapToGrid w:val="0"/>
              <w:spacing w:line="360" w:lineRule="exact"/>
              <w:rPr>
                <w:rFonts w:hint="default" w:hAnsi="宋体" w:cs="宋体" w:asciiTheme="minorEastAsia"/>
                <w:bCs/>
                <w:color w:val="auto"/>
                <w:kern w:val="2"/>
                <w:sz w:val="24"/>
                <w:szCs w:val="24"/>
                <w:highlight w:val="none"/>
                <w:lang w:val="en-US" w:eastAsia="zh-CN" w:bidi="ar-SA"/>
              </w:rPr>
            </w:pPr>
            <w:r>
              <w:rPr>
                <w:rFonts w:hint="default" w:hAnsi="宋体" w:cs="宋体" w:asciiTheme="minorEastAsia" w:eastAsiaTheme="minorEastAsia"/>
                <w:bCs/>
                <w:color w:val="auto"/>
                <w:kern w:val="2"/>
                <w:sz w:val="24"/>
                <w:szCs w:val="24"/>
                <w:highlight w:val="none"/>
                <w:lang w:val="en-US" w:eastAsia="zh-CN" w:bidi="ar-SA"/>
              </w:rPr>
              <w:t>1.</w:t>
            </w:r>
            <w:r>
              <w:rPr>
                <w:rFonts w:hint="eastAsia" w:hAnsi="宋体" w:cs="宋体"/>
                <w:bCs/>
                <w:color w:val="auto"/>
                <w:kern w:val="2"/>
                <w:sz w:val="24"/>
                <w:szCs w:val="24"/>
                <w:highlight w:val="none"/>
                <w:lang w:val="en-US" w:eastAsia="zh-CN" w:bidi="ar-SA"/>
              </w:rPr>
              <w:t>投标文件</w:t>
            </w:r>
            <w:r>
              <w:rPr>
                <w:rFonts w:hAnsi="宋体" w:cs="宋体"/>
                <w:bCs/>
                <w:color w:val="auto"/>
                <w:sz w:val="24"/>
                <w:highlight w:val="none"/>
                <w:lang w:val="en-US" w:eastAsia="zh-CN"/>
              </w:rPr>
              <w:t>须提供</w:t>
            </w:r>
            <w:r>
              <w:rPr>
                <w:rFonts w:hint="default" w:hAnsi="宋体" w:cs="宋体"/>
                <w:bCs/>
                <w:color w:val="auto"/>
                <w:sz w:val="24"/>
                <w:highlight w:val="none"/>
                <w:lang w:val="en-US" w:eastAsia="zh-CN"/>
              </w:rPr>
              <w:t>合同</w:t>
            </w:r>
            <w:r>
              <w:rPr>
                <w:rFonts w:hAnsi="宋体" w:cs="宋体"/>
                <w:bCs/>
                <w:color w:val="auto"/>
                <w:sz w:val="24"/>
                <w:highlight w:val="none"/>
                <w:lang w:val="en-US" w:eastAsia="zh-CN"/>
              </w:rPr>
              <w:t>关键页扫描件（合同协议书、服务内容、签署页等）。如前述证明材料不能清晰反映有关特征和必要信息的，还须提供该项工程业绩的业主证明并须附有业主方的联系人及联系电话。如合同包含多个工程，只按一</w:t>
            </w:r>
            <w:r>
              <w:rPr>
                <w:rFonts w:hint="default" w:hAnsi="宋体" w:cs="宋体"/>
                <w:bCs/>
                <w:color w:val="auto"/>
                <w:sz w:val="24"/>
                <w:highlight w:val="none"/>
                <w:lang w:val="en-US" w:eastAsia="zh-CN"/>
              </w:rPr>
              <w:t>项</w:t>
            </w:r>
            <w:r>
              <w:rPr>
                <w:rFonts w:hAnsi="宋体" w:cs="宋体"/>
                <w:bCs/>
                <w:color w:val="auto"/>
                <w:sz w:val="24"/>
                <w:highlight w:val="none"/>
                <w:lang w:val="en-US" w:eastAsia="zh-CN"/>
              </w:rPr>
              <w:t>业绩计算。分包合同不予计分。</w:t>
            </w:r>
            <w:r>
              <w:rPr>
                <w:rFonts w:hint="default" w:hAnsi="宋体" w:cs="宋体" w:asciiTheme="minorEastAsia"/>
                <w:bCs/>
                <w:color w:val="auto"/>
                <w:kern w:val="2"/>
                <w:sz w:val="24"/>
                <w:szCs w:val="24"/>
                <w:highlight w:val="none"/>
                <w:lang w:val="en-US" w:eastAsia="zh-CN" w:bidi="ar-SA"/>
              </w:rPr>
              <w:t xml:space="preserve"> </w:t>
            </w:r>
          </w:p>
          <w:p>
            <w:pPr>
              <w:pStyle w:val="7"/>
              <w:numPr>
                <w:ilvl w:val="0"/>
                <w:numId w:val="0"/>
              </w:numPr>
              <w:adjustRightInd w:val="0"/>
              <w:snapToGrid w:val="0"/>
              <w:spacing w:line="360" w:lineRule="exact"/>
              <w:rPr>
                <w:rFonts w:hint="default" w:hAnsi="宋体" w:cs="宋体" w:asciiTheme="minorEastAsia" w:eastAsiaTheme="minorEastAsia"/>
                <w:bCs/>
                <w:color w:val="auto"/>
                <w:kern w:val="2"/>
                <w:sz w:val="24"/>
                <w:szCs w:val="24"/>
                <w:highlight w:val="none"/>
                <w:lang w:val="en-US" w:eastAsia="zh-CN" w:bidi="ar-SA"/>
              </w:rPr>
            </w:pPr>
            <w:r>
              <w:rPr>
                <w:rFonts w:hint="default" w:hAnsi="宋体" w:cs="宋体"/>
                <w:bCs/>
                <w:color w:val="auto"/>
                <w:kern w:val="2"/>
                <w:sz w:val="24"/>
                <w:szCs w:val="24"/>
                <w:highlight w:val="none"/>
                <w:lang w:val="en-US" w:eastAsia="zh-CN" w:bidi="ar-SA"/>
              </w:rPr>
              <w:t>2</w:t>
            </w:r>
            <w:r>
              <w:rPr>
                <w:rFonts w:hint="default" w:hAnsi="宋体" w:cs="宋体" w:asciiTheme="minorEastAsia"/>
                <w:bCs/>
                <w:color w:val="auto"/>
                <w:kern w:val="2"/>
                <w:sz w:val="24"/>
                <w:szCs w:val="24"/>
                <w:highlight w:val="none"/>
                <w:lang w:val="en-US" w:eastAsia="zh-CN" w:bidi="ar-SA"/>
              </w:rPr>
              <w:t>.联合体参与投标（响应）的，联合体任意一方提供的资料符合要求即可得分。</w:t>
            </w:r>
          </w:p>
          <w:p>
            <w:pPr>
              <w:pStyle w:val="7"/>
              <w:numPr>
                <w:ilvl w:val="0"/>
                <w:numId w:val="0"/>
              </w:numPr>
              <w:adjustRightInd w:val="0"/>
              <w:snapToGrid w:val="0"/>
              <w:spacing w:line="360" w:lineRule="exact"/>
              <w:rPr>
                <w:rFonts w:hAnsi="宋体" w:cs="宋体" w:asciiTheme="minorEastAsia"/>
                <w:bCs/>
                <w:color w:val="auto"/>
                <w:sz w:val="24"/>
                <w:highlight w:val="none"/>
              </w:rPr>
            </w:pPr>
            <w:r>
              <w:rPr>
                <w:rFonts w:hint="eastAsia" w:hAnsi="宋体" w:cs="宋体"/>
                <w:bCs/>
                <w:color w:val="auto"/>
                <w:kern w:val="2"/>
                <w:sz w:val="24"/>
                <w:szCs w:val="24"/>
                <w:highlight w:val="none"/>
                <w:lang w:val="en-US" w:eastAsia="zh-CN" w:bidi="ar-SA"/>
              </w:rPr>
              <w:t>3</w:t>
            </w:r>
            <w:r>
              <w:rPr>
                <w:rFonts w:hint="default" w:hAnsi="宋体" w:cs="宋体" w:asciiTheme="minorEastAsia"/>
                <w:bCs/>
                <w:color w:val="auto"/>
                <w:kern w:val="2"/>
                <w:sz w:val="24"/>
                <w:szCs w:val="24"/>
                <w:highlight w:val="none"/>
                <w:lang w:val="en-US" w:eastAsia="zh-CN" w:bidi="ar-SA"/>
              </w:rPr>
              <w:t>.</w:t>
            </w:r>
            <w:r>
              <w:rPr>
                <w:rFonts w:hAnsi="宋体" w:cs="宋体"/>
                <w:bCs/>
                <w:color w:val="auto"/>
                <w:sz w:val="24"/>
                <w:highlight w:val="none"/>
                <w:lang w:val="en-US" w:eastAsia="zh-CN"/>
              </w:rPr>
              <w:t>未提供或提供的资</w:t>
            </w:r>
            <w:r>
              <w:rPr>
                <w:rFonts w:hAnsi="宋体" w:cs="宋体" w:asciiTheme="minorEastAsia" w:eastAsiaTheme="minorEastAsia"/>
                <w:bCs/>
                <w:color w:val="auto"/>
                <w:kern w:val="2"/>
                <w:sz w:val="24"/>
                <w:szCs w:val="24"/>
                <w:highlight w:val="none"/>
                <w:lang w:val="en-US" w:eastAsia="zh-CN" w:bidi="ar-SA"/>
              </w:rPr>
              <w:t>料不符合要求的则不得分。</w:t>
            </w:r>
          </w:p>
        </w:tc>
        <w:tc>
          <w:tcPr>
            <w:tcW w:w="700" w:type="dxa"/>
            <w:vAlign w:val="center"/>
          </w:tcPr>
          <w:p>
            <w:pPr>
              <w:widowControl/>
              <w:jc w:val="center"/>
              <w:rPr>
                <w:rFonts w:hint="default" w:eastAsia="宋体"/>
                <w:color w:val="auto"/>
                <w:highlight w:val="none"/>
                <w:lang w:val="en-US" w:eastAsia="zh-CN"/>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1115" w:hRule="atLeast"/>
          <w:jc w:val="center"/>
        </w:trPr>
        <w:tc>
          <w:tcPr>
            <w:tcW w:w="701" w:type="dxa"/>
            <w:vMerge w:val="continue"/>
            <w:vAlign w:val="center"/>
          </w:tcPr>
          <w:p>
            <w:pPr>
              <w:widowControl/>
              <w:jc w:val="center"/>
              <w:rPr>
                <w:rFonts w:ascii="宋体" w:hAnsi="宋体" w:cs="宋体"/>
                <w:b/>
                <w:color w:val="auto"/>
                <w:kern w:val="0"/>
                <w:sz w:val="24"/>
                <w:highlight w:val="none"/>
              </w:rPr>
            </w:pPr>
          </w:p>
        </w:tc>
        <w:tc>
          <w:tcPr>
            <w:tcW w:w="1072" w:type="dxa"/>
            <w:vAlign w:val="center"/>
          </w:tcPr>
          <w:p>
            <w:pPr>
              <w:widowControl/>
              <w:jc w:val="center"/>
              <w:rPr>
                <w:rFonts w:ascii="宋体" w:hAnsi="宋体"/>
                <w:b/>
                <w:color w:val="auto"/>
                <w:sz w:val="24"/>
                <w:highlight w:val="none"/>
              </w:rPr>
            </w:pPr>
            <w:r>
              <w:rPr>
                <w:rFonts w:hint="eastAsia" w:ascii="宋体" w:hAnsi="宋体"/>
                <w:b w:val="0"/>
                <w:bCs/>
                <w:color w:val="auto"/>
                <w:sz w:val="24"/>
                <w:highlight w:val="none"/>
              </w:rPr>
              <w:t>拟投入本项目管理团队人员情况</w:t>
            </w:r>
          </w:p>
        </w:tc>
        <w:tc>
          <w:tcPr>
            <w:tcW w:w="6598" w:type="dxa"/>
            <w:vAlign w:val="top"/>
          </w:tcPr>
          <w:p>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kern w:val="2"/>
                <w:sz w:val="24"/>
                <w:szCs w:val="24"/>
                <w:highlight w:val="none"/>
                <w:lang w:val="en-US" w:eastAsia="zh-CN" w:bidi="ar-SA"/>
              </w:rPr>
              <w:t>根据供应商</w:t>
            </w:r>
            <w:r>
              <w:rPr>
                <w:rFonts w:hAnsi="宋体" w:cs="宋体" w:asciiTheme="minorEastAsia" w:eastAsiaTheme="minorEastAsia"/>
                <w:bCs/>
                <w:color w:val="auto"/>
                <w:kern w:val="2"/>
                <w:sz w:val="24"/>
                <w:szCs w:val="24"/>
                <w:highlight w:val="none"/>
                <w:lang w:val="en-US" w:eastAsia="zh-CN" w:bidi="ar-SA"/>
              </w:rPr>
              <w:t>拟投入本项目管理团队人员具备工程类</w:t>
            </w:r>
            <w:r>
              <w:rPr>
                <w:rFonts w:hint="default" w:hAnsi="宋体" w:cs="宋体" w:asciiTheme="minorEastAsia" w:eastAsiaTheme="minorEastAsia"/>
                <w:bCs/>
                <w:color w:val="auto"/>
                <w:kern w:val="2"/>
                <w:sz w:val="24"/>
                <w:szCs w:val="24"/>
                <w:highlight w:val="none"/>
                <w:lang w:val="en-US" w:eastAsia="zh-CN" w:bidi="ar-SA"/>
              </w:rPr>
              <w:t>高级</w:t>
            </w:r>
            <w:r>
              <w:rPr>
                <w:rFonts w:hAnsi="宋体" w:cs="宋体" w:asciiTheme="minorEastAsia" w:eastAsiaTheme="minorEastAsia"/>
                <w:bCs/>
                <w:color w:val="auto"/>
                <w:kern w:val="2"/>
                <w:sz w:val="24"/>
                <w:szCs w:val="24"/>
                <w:highlight w:val="none"/>
                <w:lang w:val="en-US" w:eastAsia="zh-CN" w:bidi="ar-SA"/>
              </w:rPr>
              <w:t>工程师(或以上)职称的，每人得</w:t>
            </w:r>
            <w:r>
              <w:rPr>
                <w:rFonts w:hint="default" w:hAnsi="宋体" w:cs="宋体" w:asciiTheme="minorEastAsia" w:eastAsiaTheme="minorEastAsia"/>
                <w:bCs/>
                <w:color w:val="auto"/>
                <w:kern w:val="2"/>
                <w:sz w:val="24"/>
                <w:szCs w:val="24"/>
                <w:highlight w:val="none"/>
                <w:lang w:val="en-US" w:eastAsia="zh-CN" w:bidi="ar-SA"/>
              </w:rPr>
              <w:t>5</w:t>
            </w:r>
            <w:r>
              <w:rPr>
                <w:rFonts w:hAnsi="宋体" w:cs="宋体" w:asciiTheme="minorEastAsia" w:eastAsiaTheme="minorEastAsia"/>
                <w:bCs/>
                <w:color w:val="auto"/>
                <w:kern w:val="2"/>
                <w:sz w:val="24"/>
                <w:szCs w:val="24"/>
                <w:highlight w:val="none"/>
                <w:lang w:val="en-US" w:eastAsia="zh-CN" w:bidi="ar-SA"/>
              </w:rPr>
              <w:t>分，本项满分15分。</w:t>
            </w:r>
          </w:p>
          <w:p>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Ansi="宋体" w:cs="宋体" w:asciiTheme="minorEastAsia" w:eastAsiaTheme="minorEastAsia"/>
                <w:bCs/>
                <w:color w:val="auto"/>
                <w:kern w:val="2"/>
                <w:sz w:val="24"/>
                <w:szCs w:val="24"/>
                <w:highlight w:val="none"/>
                <w:lang w:val="en-US" w:eastAsia="zh-CN" w:bidi="ar-SA"/>
              </w:rPr>
              <w:t>注：</w:t>
            </w:r>
          </w:p>
          <w:p>
            <w:pPr>
              <w:widowControl/>
              <w:numPr>
                <w:ilvl w:val="0"/>
                <w:numId w:val="0"/>
              </w:numPr>
              <w:jc w:val="left"/>
              <w:rPr>
                <w:rFonts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sz w:val="24"/>
                <w:highlight w:val="none"/>
                <w:lang w:val="en-US" w:eastAsia="zh-CN"/>
              </w:rPr>
              <w:t>1.投标文件</w:t>
            </w:r>
            <w:r>
              <w:rPr>
                <w:rFonts w:hAnsi="宋体" w:cs="宋体" w:asciiTheme="minorEastAsia" w:eastAsiaTheme="minorEastAsia"/>
                <w:bCs/>
                <w:color w:val="auto"/>
                <w:sz w:val="24"/>
                <w:highlight w:val="none"/>
              </w:rPr>
              <w:t>须提供</w:t>
            </w:r>
            <w:r>
              <w:rPr>
                <w:rFonts w:hint="eastAsia" w:hAnsi="宋体" w:cs="宋体" w:asciiTheme="minorEastAsia" w:eastAsiaTheme="minorEastAsia"/>
                <w:bCs/>
                <w:color w:val="auto"/>
                <w:sz w:val="24"/>
                <w:highlight w:val="none"/>
                <w:lang w:val="en-US" w:eastAsia="zh-CN"/>
              </w:rPr>
              <w:t>上述人员职称证书扫描件和本项目采购公告发布之日起</w:t>
            </w:r>
            <w:r>
              <w:rPr>
                <w:rFonts w:hint="default" w:hAnsi="宋体" w:cs="宋体" w:asciiTheme="minorEastAsia" w:eastAsiaTheme="minorEastAsia"/>
                <w:bCs/>
                <w:color w:val="auto"/>
                <w:sz w:val="24"/>
                <w:highlight w:val="none"/>
              </w:rPr>
              <w:t>前三个月内任意一个月</w:t>
            </w:r>
            <w:r>
              <w:rPr>
                <w:rFonts w:hint="eastAsia" w:hAnsi="宋体" w:cs="宋体" w:asciiTheme="minorEastAsia" w:eastAsiaTheme="minorEastAsia"/>
                <w:bCs/>
                <w:color w:val="auto"/>
                <w:sz w:val="24"/>
                <w:highlight w:val="none"/>
                <w:lang w:val="en-US" w:eastAsia="zh-CN"/>
              </w:rPr>
              <w:t>的社保证明</w:t>
            </w:r>
            <w:r>
              <w:rPr>
                <w:rFonts w:hAnsi="宋体" w:cs="宋体" w:asciiTheme="minorEastAsia" w:eastAsiaTheme="minorEastAsia"/>
                <w:bCs/>
                <w:color w:val="auto"/>
                <w:sz w:val="24"/>
                <w:highlight w:val="none"/>
              </w:rPr>
              <w:t>（</w:t>
            </w:r>
            <w:r>
              <w:rPr>
                <w:rFonts w:hint="eastAsia" w:hAnsi="宋体" w:cs="宋体" w:asciiTheme="minorEastAsia" w:eastAsiaTheme="minorEastAsia"/>
                <w:bCs/>
                <w:color w:val="auto"/>
                <w:sz w:val="24"/>
                <w:highlight w:val="none"/>
              </w:rPr>
              <w:t>社保证明缴费单位需为</w:t>
            </w:r>
            <w:r>
              <w:rPr>
                <w:rFonts w:hint="eastAsia" w:hAnsi="宋体" w:cs="宋体" w:asciiTheme="minorEastAsia" w:eastAsiaTheme="minorEastAsia"/>
                <w:bCs/>
                <w:color w:val="auto"/>
                <w:sz w:val="24"/>
                <w:highlight w:val="none"/>
                <w:lang w:eastAsia="zh-CN"/>
              </w:rPr>
              <w:t>供应商</w:t>
            </w:r>
            <w:r>
              <w:rPr>
                <w:rFonts w:hint="eastAsia" w:hAnsi="宋体" w:cs="宋体" w:asciiTheme="minorEastAsia" w:eastAsiaTheme="minorEastAsia"/>
                <w:bCs/>
                <w:color w:val="auto"/>
                <w:sz w:val="24"/>
                <w:highlight w:val="none"/>
              </w:rPr>
              <w:t>或其分支机构</w:t>
            </w:r>
            <w:r>
              <w:rPr>
                <w:rFonts w:hint="eastAsia" w:hAnsi="宋体" w:cs="宋体" w:asciiTheme="minorEastAsia" w:eastAsiaTheme="minorEastAsia"/>
                <w:bCs/>
                <w:color w:val="auto"/>
                <w:sz w:val="24"/>
                <w:highlight w:val="none"/>
                <w:lang w:eastAsia="zh-CN"/>
              </w:rPr>
              <w:t>）</w:t>
            </w:r>
            <w:r>
              <w:rPr>
                <w:rFonts w:hint="eastAsia" w:hAnsi="宋体" w:cs="宋体" w:asciiTheme="minorEastAsia" w:eastAsiaTheme="minorEastAsia"/>
                <w:bCs/>
                <w:color w:val="auto"/>
                <w:sz w:val="24"/>
                <w:highlight w:val="none"/>
              </w:rPr>
              <w:t>，</w:t>
            </w:r>
            <w:r>
              <w:rPr>
                <w:rFonts w:hAnsi="宋体" w:cs="宋体" w:asciiTheme="minorEastAsia" w:eastAsiaTheme="minorEastAsia"/>
                <w:bCs/>
                <w:color w:val="auto"/>
                <w:sz w:val="24"/>
                <w:highlight w:val="none"/>
              </w:rPr>
              <w:t>如社保证明为清单形式，请在清单中标记出以上相关人员，以便核查</w:t>
            </w:r>
            <w:r>
              <w:rPr>
                <w:rFonts w:hint="eastAsia" w:hAnsi="宋体" w:cs="宋体" w:asciiTheme="minorEastAsia" w:eastAsiaTheme="minorEastAsia"/>
                <w:bCs/>
                <w:color w:val="auto"/>
                <w:sz w:val="24"/>
                <w:highlight w:val="none"/>
                <w:lang w:val="en-US" w:eastAsia="zh-CN"/>
              </w:rPr>
              <w:t>；如上述人员为境外企业任职，可提供在职证明资料；</w:t>
            </w:r>
            <w:r>
              <w:rPr>
                <w:rFonts w:hAnsi="宋体" w:cs="宋体" w:asciiTheme="minorEastAsia" w:eastAsiaTheme="minorEastAsia"/>
                <w:bCs/>
                <w:color w:val="auto"/>
                <w:sz w:val="24"/>
                <w:highlight w:val="none"/>
              </w:rPr>
              <w:t>离退休人员提供返聘劳务合同或相关证明文件；以上资料提供复印件</w:t>
            </w:r>
            <w:r>
              <w:rPr>
                <w:rFonts w:hint="eastAsia" w:hAnsi="宋体" w:cs="宋体" w:asciiTheme="minorEastAsia" w:eastAsiaTheme="minorEastAsia"/>
                <w:bCs/>
                <w:color w:val="auto"/>
                <w:sz w:val="24"/>
                <w:highlight w:val="none"/>
                <w:lang w:val="en-US" w:eastAsia="zh-CN"/>
              </w:rPr>
              <w:t>并</w:t>
            </w:r>
            <w:r>
              <w:rPr>
                <w:rFonts w:hAnsi="宋体" w:cs="宋体" w:asciiTheme="minorEastAsia" w:eastAsiaTheme="minorEastAsia"/>
                <w:bCs/>
                <w:color w:val="auto"/>
                <w:sz w:val="24"/>
                <w:highlight w:val="none"/>
              </w:rPr>
              <w:t>加盖</w:t>
            </w:r>
            <w:r>
              <w:rPr>
                <w:rFonts w:hint="eastAsia" w:hAnsi="宋体" w:cs="宋体" w:asciiTheme="minorEastAsia" w:eastAsiaTheme="minorEastAsia"/>
                <w:bCs/>
                <w:color w:val="auto"/>
                <w:sz w:val="24"/>
                <w:highlight w:val="none"/>
                <w:lang w:eastAsia="zh-CN"/>
              </w:rPr>
              <w:t>供应商</w:t>
            </w:r>
            <w:r>
              <w:rPr>
                <w:rFonts w:hAnsi="宋体" w:cs="宋体" w:asciiTheme="minorEastAsia" w:eastAsiaTheme="minorEastAsia"/>
                <w:bCs/>
                <w:color w:val="auto"/>
                <w:sz w:val="24"/>
                <w:highlight w:val="none"/>
              </w:rPr>
              <w:t>公章</w:t>
            </w:r>
            <w:r>
              <w:rPr>
                <w:rFonts w:hAnsi="宋体" w:cs="宋体" w:asciiTheme="minorEastAsia" w:eastAsiaTheme="minorEastAsia"/>
                <w:bCs/>
                <w:color w:val="auto"/>
                <w:kern w:val="2"/>
                <w:sz w:val="24"/>
                <w:szCs w:val="24"/>
                <w:highlight w:val="none"/>
                <w:lang w:val="en-US" w:eastAsia="zh-CN" w:bidi="ar-SA"/>
              </w:rPr>
              <w:t>。</w:t>
            </w:r>
          </w:p>
          <w:p>
            <w:pPr>
              <w:pStyle w:val="7"/>
              <w:widowControl/>
              <w:adjustRightInd w:val="0"/>
              <w:snapToGrid w:val="0"/>
              <w:spacing w:line="360" w:lineRule="exact"/>
              <w:rPr>
                <w:rFonts w:hint="eastAsia" w:hAnsi="宋体" w:cs="宋体" w:asciiTheme="minorEastAsia" w:eastAsiaTheme="minorEastAsia"/>
                <w:bCs/>
                <w:color w:val="auto"/>
                <w:kern w:val="2"/>
                <w:sz w:val="24"/>
                <w:szCs w:val="24"/>
                <w:highlight w:val="none"/>
                <w:lang w:val="en-US" w:eastAsia="zh-CN" w:bidi="ar-SA"/>
              </w:rPr>
            </w:pPr>
            <w:r>
              <w:rPr>
                <w:rFonts w:hint="default" w:hAnsi="宋体" w:cs="宋体" w:asciiTheme="minorEastAsia"/>
                <w:bCs/>
                <w:color w:val="auto"/>
                <w:kern w:val="2"/>
                <w:sz w:val="24"/>
                <w:szCs w:val="24"/>
                <w:highlight w:val="none"/>
                <w:lang w:val="en-US" w:eastAsia="zh-CN" w:bidi="ar-SA"/>
              </w:rPr>
              <w:t>2.联合体参与投标（响应）的，联合体任意一方提供的资料符合要求即可得分。</w:t>
            </w:r>
          </w:p>
          <w:p>
            <w:pPr>
              <w:widowControl/>
              <w:numPr>
                <w:ilvl w:val="0"/>
                <w:numId w:val="0"/>
              </w:numPr>
              <w:jc w:val="left"/>
              <w:rPr>
                <w:rFonts w:hint="default" w:hAnsi="宋体" w:cs="宋体" w:asciiTheme="minorEastAsia" w:eastAsiaTheme="minorEastAsia"/>
                <w:bCs/>
                <w:color w:val="auto"/>
                <w:kern w:val="2"/>
                <w:sz w:val="24"/>
                <w:szCs w:val="24"/>
                <w:highlight w:val="none"/>
                <w:lang w:val="en-US" w:eastAsia="zh-CN" w:bidi="ar-SA"/>
              </w:rPr>
            </w:pPr>
            <w:r>
              <w:rPr>
                <w:rFonts w:hint="eastAsia" w:hAnsi="宋体" w:cs="宋体" w:asciiTheme="minorEastAsia" w:eastAsiaTheme="minorEastAsia"/>
                <w:bCs/>
                <w:color w:val="auto"/>
                <w:kern w:val="2"/>
                <w:sz w:val="24"/>
                <w:szCs w:val="24"/>
                <w:highlight w:val="none"/>
                <w:lang w:val="en-US" w:eastAsia="zh-CN" w:bidi="ar-SA"/>
              </w:rPr>
              <w:t>3.</w:t>
            </w:r>
            <w:r>
              <w:rPr>
                <w:rFonts w:hAnsi="宋体" w:cs="宋体" w:asciiTheme="minorEastAsia" w:eastAsiaTheme="minorEastAsia"/>
                <w:bCs/>
                <w:color w:val="auto"/>
                <w:kern w:val="2"/>
                <w:sz w:val="24"/>
                <w:szCs w:val="24"/>
                <w:highlight w:val="none"/>
                <w:lang w:val="en-US" w:eastAsia="zh-CN" w:bidi="ar-SA"/>
              </w:rPr>
              <w:t>未提供或者提供的资料不符合要求的不得分。</w:t>
            </w:r>
          </w:p>
        </w:tc>
        <w:tc>
          <w:tcPr>
            <w:tcW w:w="700" w:type="dxa"/>
            <w:vAlign w:val="center"/>
          </w:tcPr>
          <w:p>
            <w:pPr>
              <w:rPr>
                <w:rFonts w:hint="default" w:eastAsia="宋体"/>
                <w:color w:val="auto"/>
                <w:highlight w:val="none"/>
                <w:lang w:val="en-US" w:eastAsia="zh-CN"/>
              </w:rPr>
            </w:pPr>
            <w:r>
              <w:rPr>
                <w:rFonts w:hint="eastAsia" w:ascii="宋体" w:hAnsi="宋体" w:cs="宋体"/>
                <w:color w:val="auto"/>
                <w:sz w:val="24"/>
                <w:highlight w:val="none"/>
                <w:lang w:val="en-US" w:eastAsia="zh-CN"/>
              </w:rPr>
              <w:t>15分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2" w:hRule="atLeast"/>
          <w:jc w:val="center"/>
        </w:trPr>
        <w:tc>
          <w:tcPr>
            <w:tcW w:w="1773" w:type="dxa"/>
            <w:gridSpan w:val="2"/>
            <w:vAlign w:val="center"/>
          </w:tcPr>
          <w:p>
            <w:pPr>
              <w:widowControl/>
              <w:jc w:val="center"/>
              <w:rPr>
                <w:rFonts w:hint="eastAsia" w:ascii="宋体" w:hAnsi="宋体" w:eastAsia="宋体" w:cs="宋体"/>
                <w:sz w:val="24"/>
                <w:highlight w:val="none"/>
              </w:rPr>
            </w:pPr>
            <w:r>
              <w:rPr>
                <w:rFonts w:hint="eastAsia" w:ascii="宋体" w:hAnsi="宋体" w:eastAsia="宋体" w:cs="宋体"/>
                <w:sz w:val="24"/>
                <w:highlight w:val="none"/>
              </w:rPr>
              <w:t>经济价格</w:t>
            </w:r>
          </w:p>
          <w:p>
            <w:pPr>
              <w:widowControl/>
              <w:jc w:val="center"/>
              <w:rPr>
                <w:rFonts w:hint="default" w:ascii="宋体" w:hAnsi="宋体" w:eastAsia="宋体" w:cs="宋体"/>
                <w:b/>
                <w:color w:val="auto"/>
                <w:kern w:val="0"/>
                <w:sz w:val="24"/>
                <w:highlight w:val="none"/>
                <w:lang w:val="en-US" w:eastAsia="zh-CN"/>
              </w:rPr>
            </w:pPr>
            <w:r>
              <w:rPr>
                <w:rFonts w:hint="eastAsia" w:ascii="宋体" w:hAnsi="宋体" w:cs="宋体"/>
                <w:sz w:val="24"/>
                <w:highlight w:val="none"/>
                <w:lang w:val="en-US" w:eastAsia="zh-CN"/>
              </w:rPr>
              <w:t>10分</w:t>
            </w:r>
          </w:p>
        </w:tc>
        <w:tc>
          <w:tcPr>
            <w:tcW w:w="6598" w:type="dxa"/>
            <w:vAlign w:val="bottom"/>
          </w:tcPr>
          <w:p>
            <w:pPr>
              <w:widowControl/>
              <w:spacing w:line="240" w:lineRule="auto"/>
              <w:ind w:firstLine="0" w:firstLineChars="0"/>
              <w:jc w:val="both"/>
              <w:rPr>
                <w:rFonts w:hint="eastAsia" w:ascii="宋体" w:hAnsi="宋体" w:eastAsia="宋体" w:cs="宋体"/>
                <w:sz w:val="24"/>
                <w:highlight w:val="none"/>
              </w:rPr>
            </w:pPr>
            <w:r>
              <w:rPr>
                <w:rFonts w:hint="eastAsia" w:ascii="宋体" w:hAnsi="宋体" w:eastAsia="宋体" w:cs="宋体"/>
                <w:sz w:val="24"/>
                <w:highlight w:val="none"/>
              </w:rPr>
              <w:t>经济价格标得分=(评标基准价/</w:t>
            </w:r>
            <w:r>
              <w:rPr>
                <w:rFonts w:hint="eastAsia" w:ascii="宋体" w:hAnsi="宋体" w:eastAsia="宋体" w:cs="宋体"/>
                <w:sz w:val="24"/>
                <w:szCs w:val="24"/>
                <w:highlight w:val="none"/>
              </w:rPr>
              <w:t>评标价</w:t>
            </w:r>
            <w:r>
              <w:rPr>
                <w:rFonts w:hint="eastAsia" w:ascii="宋体" w:hAnsi="宋体" w:eastAsia="宋体" w:cs="宋体"/>
                <w:sz w:val="24"/>
                <w:highlight w:val="none"/>
              </w:rPr>
              <w:t>)×10%×100</w:t>
            </w:r>
          </w:p>
          <w:p>
            <w:pPr>
              <w:widowControl/>
              <w:spacing w:line="240" w:lineRule="auto"/>
              <w:ind w:firstLine="0" w:firstLineChars="0"/>
              <w:jc w:val="both"/>
              <w:rPr>
                <w:rFonts w:hint="eastAsia" w:ascii="宋体" w:hAnsi="宋体" w:eastAsia="宋体" w:cs="宋体"/>
                <w:color w:val="auto"/>
                <w:kern w:val="0"/>
                <w:sz w:val="24"/>
                <w:highlight w:val="none"/>
              </w:rPr>
            </w:pPr>
            <w:r>
              <w:rPr>
                <w:rFonts w:hint="eastAsia" w:ascii="宋体" w:hAnsi="宋体" w:eastAsia="宋体" w:cs="宋体"/>
                <w:sz w:val="24"/>
                <w:highlight w:val="none"/>
              </w:rPr>
              <w:t>上述公式中的“评标基准价”是指满足项目需求书要求的最低评标价，其价格得分为满分。评标价为在报价基础上作算术修正后的价格，无算术修正情况下，报价即为评标价。</w:t>
            </w:r>
          </w:p>
        </w:tc>
        <w:tc>
          <w:tcPr>
            <w:tcW w:w="700" w:type="dxa"/>
            <w:vAlign w:val="center"/>
          </w:tcPr>
          <w:p>
            <w:pPr>
              <w:widowControl/>
              <w:jc w:val="center"/>
              <w:rPr>
                <w:rFonts w:ascii="宋体" w:cs="宋体"/>
                <w:color w:val="auto"/>
                <w:kern w:val="0"/>
                <w:sz w:val="24"/>
                <w:highlight w:val="none"/>
              </w:rPr>
            </w:pPr>
            <w:r>
              <w:rPr>
                <w:rFonts w:hint="eastAsia" w:ascii="宋体" w:hAnsi="宋体" w:cs="宋体"/>
                <w:color w:val="auto"/>
                <w:kern w:val="0"/>
                <w:sz w:val="24"/>
                <w:highlight w:val="none"/>
              </w:rPr>
              <w:t>10分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2" w:hRule="atLeast"/>
          <w:jc w:val="center"/>
        </w:trPr>
        <w:tc>
          <w:tcPr>
            <w:tcW w:w="8371" w:type="dxa"/>
            <w:gridSpan w:val="3"/>
            <w:vAlign w:val="center"/>
          </w:tcPr>
          <w:p>
            <w:pPr>
              <w:widowControl/>
              <w:ind w:firstLine="482" w:firstLineChars="200"/>
              <w:jc w:val="center"/>
              <w:rPr>
                <w:rFonts w:ascii="宋体" w:hAnsi="宋体"/>
                <w:color w:val="auto"/>
                <w:sz w:val="24"/>
                <w:highlight w:val="none"/>
              </w:rPr>
            </w:pPr>
            <w:r>
              <w:rPr>
                <w:rFonts w:hint="eastAsia" w:ascii="宋体" w:hAnsi="宋体" w:cs="宋体"/>
                <w:b/>
                <w:color w:val="auto"/>
                <w:kern w:val="0"/>
                <w:sz w:val="24"/>
                <w:highlight w:val="none"/>
              </w:rPr>
              <w:t>合计</w:t>
            </w:r>
          </w:p>
        </w:tc>
        <w:tc>
          <w:tcPr>
            <w:tcW w:w="700" w:type="dxa"/>
            <w:vAlign w:val="center"/>
          </w:tcPr>
          <w:p>
            <w:pPr>
              <w:widowControl/>
              <w:jc w:val="center"/>
              <w:rPr>
                <w:rFonts w:ascii="宋体" w:hAnsi="宋体" w:cs="宋体"/>
                <w:color w:val="auto"/>
                <w:kern w:val="0"/>
                <w:sz w:val="24"/>
                <w:highlight w:val="none"/>
              </w:rPr>
            </w:pPr>
            <w:r>
              <w:rPr>
                <w:rFonts w:hint="eastAsia" w:ascii="宋体" w:hAnsi="宋体" w:cs="宋体"/>
                <w:b/>
                <w:color w:val="auto"/>
                <w:kern w:val="0"/>
                <w:sz w:val="24"/>
                <w:highlight w:val="none"/>
              </w:rPr>
              <w:t>100分</w:t>
            </w:r>
          </w:p>
        </w:tc>
      </w:tr>
    </w:tbl>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1" w:fontKey="{84A2F833-309B-480B-BF1B-3A89C3A31E00}"/>
  </w:font>
  <w:font w:name="方正小标宋简体">
    <w:panose1 w:val="03000509000000000000"/>
    <w:charset w:val="86"/>
    <w:family w:val="auto"/>
    <w:pitch w:val="default"/>
    <w:sig w:usb0="00000001" w:usb1="080E0000" w:usb2="00000000" w:usb3="00000000" w:csb0="00040000" w:csb1="00000000"/>
    <w:embedRegular r:id="rId2" w:fontKey="{A37792EE-DFEC-4210-88DD-F236C9A8A971}"/>
  </w:font>
  <w:font w:name="仿宋">
    <w:panose1 w:val="02010609060101010101"/>
    <w:charset w:val="86"/>
    <w:family w:val="auto"/>
    <w:pitch w:val="default"/>
    <w:sig w:usb0="800002BF" w:usb1="38CF7CFA" w:usb2="00000016" w:usb3="00000000" w:csb0="00040001" w:csb1="00000000"/>
    <w:embedRegular r:id="rId3" w:fontKey="{DC9508E2-1E9B-403D-B73F-1F16AE1A3AF1}"/>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D9AB7"/>
    <w:multiLevelType w:val="singleLevel"/>
    <w:tmpl w:val="80DD9AB7"/>
    <w:lvl w:ilvl="0" w:tentative="0">
      <w:start w:val="3"/>
      <w:numFmt w:val="chineseCounting"/>
      <w:suff w:val="nothing"/>
      <w:lvlText w:val="（%1）"/>
      <w:lvlJc w:val="left"/>
      <w:rPr>
        <w:rFonts w:hint="eastAsia"/>
      </w:rPr>
    </w:lvl>
  </w:abstractNum>
  <w:abstractNum w:abstractNumId="1">
    <w:nsid w:val="AC2DEF2E"/>
    <w:multiLevelType w:val="singleLevel"/>
    <w:tmpl w:val="AC2DEF2E"/>
    <w:lvl w:ilvl="0" w:tentative="0">
      <w:start w:val="1"/>
      <w:numFmt w:val="decimal"/>
      <w:lvlText w:val="%1."/>
      <w:lvlJc w:val="left"/>
      <w:pPr>
        <w:tabs>
          <w:tab w:val="left" w:pos="312"/>
        </w:tabs>
      </w:pPr>
    </w:lvl>
  </w:abstractNum>
  <w:abstractNum w:abstractNumId="2">
    <w:nsid w:val="F9DBEED3"/>
    <w:multiLevelType w:val="singleLevel"/>
    <w:tmpl w:val="F9DBEED3"/>
    <w:lvl w:ilvl="0" w:tentative="0">
      <w:start w:val="1"/>
      <w:numFmt w:val="decimal"/>
      <w:lvlText w:val="%1."/>
      <w:lvlJc w:val="left"/>
      <w:pPr>
        <w:tabs>
          <w:tab w:val="left" w:pos="312"/>
        </w:tabs>
      </w:pPr>
    </w:lvl>
  </w:abstractNum>
  <w:abstractNum w:abstractNumId="3">
    <w:nsid w:val="0247B43C"/>
    <w:multiLevelType w:val="singleLevel"/>
    <w:tmpl w:val="0247B43C"/>
    <w:lvl w:ilvl="0" w:tentative="0">
      <w:start w:val="1"/>
      <w:numFmt w:val="decimal"/>
      <w:lvlText w:val="%1."/>
      <w:lvlJc w:val="left"/>
      <w:pPr>
        <w:tabs>
          <w:tab w:val="left" w:pos="312"/>
        </w:tabs>
        <w:ind w:left="0" w:leftChars="0" w:firstLine="0" w:firstLineChars="0"/>
      </w:pPr>
    </w:lvl>
  </w:abstractNum>
  <w:abstractNum w:abstractNumId="4">
    <w:nsid w:val="1EF6BF21"/>
    <w:multiLevelType w:val="singleLevel"/>
    <w:tmpl w:val="1EF6BF21"/>
    <w:lvl w:ilvl="0" w:tentative="0">
      <w:start w:val="1"/>
      <w:numFmt w:val="decimal"/>
      <w:lvlText w:val="%1."/>
      <w:lvlJc w:val="left"/>
      <w:pPr>
        <w:tabs>
          <w:tab w:val="left" w:pos="312"/>
        </w:tabs>
      </w:pPr>
    </w:lvl>
  </w:abstractNum>
  <w:abstractNum w:abstractNumId="5">
    <w:nsid w:val="2C5F70AD"/>
    <w:multiLevelType w:val="singleLevel"/>
    <w:tmpl w:val="2C5F70AD"/>
    <w:lvl w:ilvl="0" w:tentative="0">
      <w:start w:val="1"/>
      <w:numFmt w:val="decimal"/>
      <w:lvlText w:val="%1."/>
      <w:lvlJc w:val="left"/>
      <w:pPr>
        <w:tabs>
          <w:tab w:val="left" w:pos="312"/>
        </w:tabs>
      </w:pPr>
    </w:lvl>
  </w:abstractNum>
  <w:abstractNum w:abstractNumId="6">
    <w:nsid w:val="33F0D127"/>
    <w:multiLevelType w:val="singleLevel"/>
    <w:tmpl w:val="33F0D127"/>
    <w:lvl w:ilvl="0" w:tentative="0">
      <w:start w:val="1"/>
      <w:numFmt w:val="decimal"/>
      <w:lvlText w:val="%1."/>
      <w:lvlJc w:val="left"/>
      <w:pPr>
        <w:tabs>
          <w:tab w:val="left" w:pos="312"/>
        </w:tabs>
      </w:pPr>
    </w:lvl>
  </w:abstractNum>
  <w:abstractNum w:abstractNumId="7">
    <w:nsid w:val="73BD7B47"/>
    <w:multiLevelType w:val="singleLevel"/>
    <w:tmpl w:val="73BD7B47"/>
    <w:lvl w:ilvl="0" w:tentative="0">
      <w:start w:val="1"/>
      <w:numFmt w:val="decimal"/>
      <w:lvlText w:val="%1."/>
      <w:lvlJc w:val="left"/>
      <w:pPr>
        <w:tabs>
          <w:tab w:val="left" w:pos="312"/>
        </w:tabs>
        <w:ind w:left="120" w:leftChars="0" w:firstLine="0" w:firstLineChars="0"/>
      </w:pPr>
    </w:lvl>
  </w:abstractNum>
  <w:abstractNum w:abstractNumId="8">
    <w:nsid w:val="7A1CA97F"/>
    <w:multiLevelType w:val="singleLevel"/>
    <w:tmpl w:val="7A1CA97F"/>
    <w:lvl w:ilvl="0" w:tentative="0">
      <w:start w:val="1"/>
      <w:numFmt w:val="decimal"/>
      <w:lvlText w:val="%1."/>
      <w:lvlJc w:val="left"/>
      <w:pPr>
        <w:tabs>
          <w:tab w:val="left" w:pos="312"/>
        </w:tabs>
        <w:ind w:left="120" w:leftChars="0" w:firstLine="0" w:firstLineChars="0"/>
      </w:pPr>
    </w:lvl>
  </w:abstractNum>
  <w:num w:numId="1">
    <w:abstractNumId w:val="0"/>
  </w:num>
  <w:num w:numId="2">
    <w:abstractNumId w:val="7"/>
  </w:num>
  <w:num w:numId="3">
    <w:abstractNumId w:val="8"/>
  </w:num>
  <w:num w:numId="4">
    <w:abstractNumId w:val="3"/>
  </w:num>
  <w:num w:numId="5">
    <w:abstractNumId w:val="5"/>
  </w:num>
  <w:num w:numId="6">
    <w:abstractNumId w:val="2"/>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5ZGQ5ZWQ1MmJhMGZkNmYwMjg3MjM4MGI4MGE3YjQifQ=="/>
  </w:docVars>
  <w:rsids>
    <w:rsidRoot w:val="003E1BC6"/>
    <w:rsid w:val="0003128E"/>
    <w:rsid w:val="0009042A"/>
    <w:rsid w:val="0028314E"/>
    <w:rsid w:val="002B54BD"/>
    <w:rsid w:val="002E2BD5"/>
    <w:rsid w:val="00337B89"/>
    <w:rsid w:val="003E1BC6"/>
    <w:rsid w:val="006B35A9"/>
    <w:rsid w:val="00895A90"/>
    <w:rsid w:val="00AA0807"/>
    <w:rsid w:val="00C700A0"/>
    <w:rsid w:val="00E03349"/>
    <w:rsid w:val="00E644AA"/>
    <w:rsid w:val="00E7485E"/>
    <w:rsid w:val="00E93D2B"/>
    <w:rsid w:val="00EE26C3"/>
    <w:rsid w:val="00F95587"/>
    <w:rsid w:val="00FA6FC3"/>
    <w:rsid w:val="0208273F"/>
    <w:rsid w:val="02B372B1"/>
    <w:rsid w:val="02BC028B"/>
    <w:rsid w:val="043A4B29"/>
    <w:rsid w:val="04C94AE8"/>
    <w:rsid w:val="054E7F91"/>
    <w:rsid w:val="05BC2DF7"/>
    <w:rsid w:val="0609518E"/>
    <w:rsid w:val="06147E59"/>
    <w:rsid w:val="0719073F"/>
    <w:rsid w:val="07D337E6"/>
    <w:rsid w:val="084F532E"/>
    <w:rsid w:val="088864F1"/>
    <w:rsid w:val="09E2314B"/>
    <w:rsid w:val="0A00720C"/>
    <w:rsid w:val="0A840B51"/>
    <w:rsid w:val="0AED39FD"/>
    <w:rsid w:val="0B105ABE"/>
    <w:rsid w:val="0B3F6E6A"/>
    <w:rsid w:val="0BD3515B"/>
    <w:rsid w:val="0C3436F1"/>
    <w:rsid w:val="0C4B01DE"/>
    <w:rsid w:val="0D1809B4"/>
    <w:rsid w:val="0D643714"/>
    <w:rsid w:val="0E101ECB"/>
    <w:rsid w:val="0FEC310E"/>
    <w:rsid w:val="10701B06"/>
    <w:rsid w:val="10E82A49"/>
    <w:rsid w:val="11C52F37"/>
    <w:rsid w:val="11E64206"/>
    <w:rsid w:val="132C2AD0"/>
    <w:rsid w:val="14B16081"/>
    <w:rsid w:val="14F75772"/>
    <w:rsid w:val="153347AD"/>
    <w:rsid w:val="167C35DD"/>
    <w:rsid w:val="16F23724"/>
    <w:rsid w:val="184A22E6"/>
    <w:rsid w:val="18E24DE3"/>
    <w:rsid w:val="1B895FBB"/>
    <w:rsid w:val="1BA30965"/>
    <w:rsid w:val="1BF44AA8"/>
    <w:rsid w:val="1D1A36B1"/>
    <w:rsid w:val="1D6223B1"/>
    <w:rsid w:val="1D8D0B65"/>
    <w:rsid w:val="1DCE7987"/>
    <w:rsid w:val="1E0F4A61"/>
    <w:rsid w:val="1E547AF5"/>
    <w:rsid w:val="1EA96183"/>
    <w:rsid w:val="1F3C1C4F"/>
    <w:rsid w:val="1FE203E6"/>
    <w:rsid w:val="21C46C8E"/>
    <w:rsid w:val="22F07AE2"/>
    <w:rsid w:val="23C36EFD"/>
    <w:rsid w:val="240D4A36"/>
    <w:rsid w:val="24301D62"/>
    <w:rsid w:val="260F5480"/>
    <w:rsid w:val="27B21204"/>
    <w:rsid w:val="27E1537C"/>
    <w:rsid w:val="27FC28F0"/>
    <w:rsid w:val="29522B80"/>
    <w:rsid w:val="295B56A9"/>
    <w:rsid w:val="29E27D80"/>
    <w:rsid w:val="2A2F7B15"/>
    <w:rsid w:val="2B8227E6"/>
    <w:rsid w:val="2C2446C9"/>
    <w:rsid w:val="2C351D6B"/>
    <w:rsid w:val="2C355BEC"/>
    <w:rsid w:val="2C4F2D00"/>
    <w:rsid w:val="2E16582B"/>
    <w:rsid w:val="2E494C3A"/>
    <w:rsid w:val="2E5161D8"/>
    <w:rsid w:val="2F143BBC"/>
    <w:rsid w:val="2F650469"/>
    <w:rsid w:val="30351FA2"/>
    <w:rsid w:val="31467379"/>
    <w:rsid w:val="32142838"/>
    <w:rsid w:val="34344A31"/>
    <w:rsid w:val="34F816E9"/>
    <w:rsid w:val="35E60A17"/>
    <w:rsid w:val="35F86C9B"/>
    <w:rsid w:val="373F5829"/>
    <w:rsid w:val="3861258D"/>
    <w:rsid w:val="38C53251"/>
    <w:rsid w:val="3AC72CFB"/>
    <w:rsid w:val="3AEE3E4A"/>
    <w:rsid w:val="3C224E19"/>
    <w:rsid w:val="3D5D5666"/>
    <w:rsid w:val="3D6F32CB"/>
    <w:rsid w:val="3E4B002B"/>
    <w:rsid w:val="3E7505FA"/>
    <w:rsid w:val="3E8D7BAE"/>
    <w:rsid w:val="3F850146"/>
    <w:rsid w:val="3FDD0FCA"/>
    <w:rsid w:val="400C38A3"/>
    <w:rsid w:val="40B3552A"/>
    <w:rsid w:val="41905C1D"/>
    <w:rsid w:val="41B8730F"/>
    <w:rsid w:val="42B149C4"/>
    <w:rsid w:val="42F2590F"/>
    <w:rsid w:val="42FD3BF5"/>
    <w:rsid w:val="4389705D"/>
    <w:rsid w:val="455C6BD8"/>
    <w:rsid w:val="48BA78DE"/>
    <w:rsid w:val="49BF3909"/>
    <w:rsid w:val="4A1037A4"/>
    <w:rsid w:val="4A1F4C27"/>
    <w:rsid w:val="4BEA2F99"/>
    <w:rsid w:val="4C022BD4"/>
    <w:rsid w:val="4C421AD5"/>
    <w:rsid w:val="4C8F3727"/>
    <w:rsid w:val="4CB9236D"/>
    <w:rsid w:val="4D095DD5"/>
    <w:rsid w:val="4D1304F3"/>
    <w:rsid w:val="4DBB5413"/>
    <w:rsid w:val="4EC77ECE"/>
    <w:rsid w:val="50C15018"/>
    <w:rsid w:val="50E147A9"/>
    <w:rsid w:val="54E0147B"/>
    <w:rsid w:val="553B1CB2"/>
    <w:rsid w:val="554738F5"/>
    <w:rsid w:val="55DF63F2"/>
    <w:rsid w:val="563B5CFE"/>
    <w:rsid w:val="56F16C67"/>
    <w:rsid w:val="57001A8F"/>
    <w:rsid w:val="5A091C1B"/>
    <w:rsid w:val="5A736072"/>
    <w:rsid w:val="5ADC5520"/>
    <w:rsid w:val="5C655CC7"/>
    <w:rsid w:val="5DE33199"/>
    <w:rsid w:val="5DF43534"/>
    <w:rsid w:val="5E1901E8"/>
    <w:rsid w:val="5E28592B"/>
    <w:rsid w:val="5F0F7504"/>
    <w:rsid w:val="5F7217A7"/>
    <w:rsid w:val="5F980FDC"/>
    <w:rsid w:val="60733548"/>
    <w:rsid w:val="609E13D9"/>
    <w:rsid w:val="611D52B9"/>
    <w:rsid w:val="62743F92"/>
    <w:rsid w:val="62A17620"/>
    <w:rsid w:val="640A778A"/>
    <w:rsid w:val="64F83009"/>
    <w:rsid w:val="653A5A1F"/>
    <w:rsid w:val="654A64F6"/>
    <w:rsid w:val="67414139"/>
    <w:rsid w:val="67477040"/>
    <w:rsid w:val="67737C48"/>
    <w:rsid w:val="67ED3E90"/>
    <w:rsid w:val="686D4590"/>
    <w:rsid w:val="688B14DE"/>
    <w:rsid w:val="68950C0F"/>
    <w:rsid w:val="68B74A5D"/>
    <w:rsid w:val="691E30AE"/>
    <w:rsid w:val="6D3D73C4"/>
    <w:rsid w:val="6EA64798"/>
    <w:rsid w:val="6F7B45F0"/>
    <w:rsid w:val="6FBA64A2"/>
    <w:rsid w:val="6FC92FA9"/>
    <w:rsid w:val="6FD825B3"/>
    <w:rsid w:val="702B429A"/>
    <w:rsid w:val="7198256C"/>
    <w:rsid w:val="72CD12E4"/>
    <w:rsid w:val="72D02269"/>
    <w:rsid w:val="74707796"/>
    <w:rsid w:val="75AC482C"/>
    <w:rsid w:val="75DC2A43"/>
    <w:rsid w:val="77342089"/>
    <w:rsid w:val="7859436A"/>
    <w:rsid w:val="79157FF1"/>
    <w:rsid w:val="79587019"/>
    <w:rsid w:val="79A453E0"/>
    <w:rsid w:val="79DC01FD"/>
    <w:rsid w:val="7A446928"/>
    <w:rsid w:val="7ACC3AB5"/>
    <w:rsid w:val="7AF6674C"/>
    <w:rsid w:val="7B70689C"/>
    <w:rsid w:val="7C47519E"/>
    <w:rsid w:val="7F514A2E"/>
    <w:rsid w:val="7F546CBC"/>
    <w:rsid w:val="7F716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9"/>
    <w:pPr>
      <w:keepNext/>
      <w:keepLines/>
      <w:tabs>
        <w:tab w:val="left" w:pos="567"/>
      </w:tabs>
      <w:spacing w:before="260" w:after="260" w:line="413" w:lineRule="auto"/>
      <w:ind w:left="992" w:hanging="567"/>
      <w:outlineLvl w:val="1"/>
    </w:pPr>
    <w:rPr>
      <w:rFonts w:ascii="Arial" w:hAnsi="Arial" w:eastAsia="黑体"/>
      <w:b/>
      <w:bCs/>
      <w:kern w:val="2"/>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5">
    <w:name w:val="annotation text"/>
    <w:basedOn w:val="1"/>
    <w:qFormat/>
    <w:uiPriority w:val="0"/>
    <w:pPr>
      <w:jc w:val="left"/>
    </w:pPr>
  </w:style>
  <w:style w:type="paragraph" w:styleId="6">
    <w:name w:val="index 4"/>
    <w:basedOn w:val="1"/>
    <w:next w:val="1"/>
    <w:unhideWhenUsed/>
    <w:qFormat/>
    <w:uiPriority w:val="99"/>
    <w:pPr>
      <w:ind w:left="600" w:leftChars="600"/>
    </w:pPr>
    <w:rPr>
      <w:rFonts w:hint="eastAsia"/>
    </w:rPr>
  </w:style>
  <w:style w:type="paragraph" w:styleId="7">
    <w:name w:val="Plain Text"/>
    <w:basedOn w:val="1"/>
    <w:unhideWhenUsed/>
    <w:qFormat/>
    <w:uiPriority w:val="0"/>
    <w:rPr>
      <w:rFonts w:hAnsi="Courier New" w:cs="Courier New" w:asciiTheme="minorEastAsia" w:eastAsiaTheme="minorEastAsia"/>
    </w:rPr>
  </w:style>
  <w:style w:type="paragraph" w:styleId="8">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link w:val="17"/>
    <w:qFormat/>
    <w:uiPriority w:val="0"/>
    <w:pPr>
      <w:tabs>
        <w:tab w:val="center" w:pos="4153"/>
        <w:tab w:val="right" w:pos="8306"/>
      </w:tabs>
      <w:snapToGrid w:val="0"/>
      <w:jc w:val="center"/>
    </w:pPr>
    <w:rPr>
      <w:sz w:val="18"/>
      <w:szCs w:val="18"/>
    </w:rPr>
  </w:style>
  <w:style w:type="paragraph" w:styleId="11">
    <w:name w:val="toc 2"/>
    <w:basedOn w:val="1"/>
    <w:next w:val="1"/>
    <w:qFormat/>
    <w:uiPriority w:val="0"/>
    <w:pPr>
      <w:ind w:left="200" w:leftChars="200"/>
    </w:pPr>
  </w:style>
  <w:style w:type="character" w:styleId="14">
    <w:name w:val="Strong"/>
    <w:basedOn w:val="13"/>
    <w:qFormat/>
    <w:uiPriority w:val="0"/>
    <w:rPr>
      <w:b/>
    </w:rPr>
  </w:style>
  <w:style w:type="character" w:customStyle="1" w:styleId="15">
    <w:name w:val="15"/>
    <w:basedOn w:val="13"/>
    <w:qFormat/>
    <w:uiPriority w:val="0"/>
    <w:rPr>
      <w:rFonts w:hint="default" w:ascii="Times New Roman" w:hAnsi="Times New Roman" w:eastAsia="宋体" w:cs="Times New Roman"/>
    </w:rPr>
  </w:style>
  <w:style w:type="paragraph" w:customStyle="1" w:styleId="16">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7">
    <w:name w:val="页眉 字符"/>
    <w:basedOn w:val="13"/>
    <w:link w:val="10"/>
    <w:qFormat/>
    <w:uiPriority w:val="0"/>
    <w:rPr>
      <w:rFonts w:ascii="Times New Roman" w:hAnsi="Times New Roman" w:eastAsia="宋体" w:cs="Times New Roman"/>
      <w:kern w:val="2"/>
      <w:sz w:val="18"/>
      <w:szCs w:val="18"/>
    </w:rPr>
  </w:style>
  <w:style w:type="paragraph" w:customStyle="1" w:styleId="1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4a01138c-51d7-4ec7-a4c6-58fe310bc8b5</errorID>
      <errorWord>，</errorWord>
      <group>L1_Punc</group>
      <groupName>标点问题</groupName>
      <ability>L2_Punc_CN</ability>
      <abilityName>标点符号问题</abilityName>
      <candidateList>
        <item>、</item>
      </candidateList>
      <explain/>
      <paraID> 6372FE6</paraID>
      <start>92</start>
      <end>93</end>
      <status>unmodified</status>
      <modifiedWord/>
      <trackRevisions>false</trackRevisions>
    </reviewItem>
    <reviewItem>
      <errorID>9fcab71c-e4e0-4456-8fa7-543e47581505</errorID>
      <errorWord>具备</errorWord>
      <group>L1_Grammar</group>
      <groupName>语法问题</groupName>
      <ability>L2_Grammar</ability>
      <abilityName>语法错误</abilityName>
      <candidateList>
        <item>是否具备</item>
      </candidateList>
      <explain/>
      <paraID>23D272C5</paraID>
      <start>26</start>
      <end>28</end>
      <status>unmodified</status>
      <modifiedWord/>
      <trackRevisions>false</trackRevisions>
    </reviewItem>
    <reviewItem>
      <errorID>0d6757cc-a154-41af-aa6f-79b35665a627</errorID>
      <errorWord>，</errorWord>
      <group>L1_Grammar</group>
      <groupName>语法问题</groupName>
      <ability>L2_Grammar</ability>
      <abilityName>语法错误</abilityName>
      <candidateList>
        <item>情况，</item>
      </candidateList>
      <explain/>
      <paraID>23D272C5</paraID>
      <start>44</start>
      <end>45</end>
      <status>unmodified</status>
      <modifiedWord/>
      <trackRevisions>false</trackRevisions>
    </reviewItem>
    <reviewItem>
      <errorID>f1992960-b953-4e12-a2b3-1fd1a9dd113a</errorID>
      <errorWord>提供</errorWord>
      <group>L1_Word</group>
      <groupName>字词问题</groupName>
      <ability>L2_Typo</ability>
      <abilityName>字词错误</abilityName>
      <candidateList>
        <item>应提供</item>
      </candidateList>
      <explain/>
      <paraID>7979636E</paraID>
      <start>151</start>
      <end>153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280b4-c567-4dc5-a364-055b5d3d9cdf}">
  <ds:schemaRefs/>
</ds:datastoreItem>
</file>

<file path=docProps/app.xml><?xml version="1.0" encoding="utf-8"?>
<Properties xmlns="http://schemas.openxmlformats.org/officeDocument/2006/extended-properties" xmlns:vt="http://schemas.openxmlformats.org/officeDocument/2006/docPropsVTypes">
  <Template>wdzx97.dot</Template>
  <Pages>6</Pages>
  <Words>4477</Words>
  <Characters>4556</Characters>
  <Lines>17</Lines>
  <Paragraphs>4</Paragraphs>
  <TotalTime>1</TotalTime>
  <ScaleCrop>false</ScaleCrop>
  <LinksUpToDate>false</LinksUpToDate>
  <CharactersWithSpaces>4594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2024-07-18T09:24:00Z</dcterms:created>
  <dc:creator>admin</dc:creator>
  <cp:lastModifiedBy>品泽</cp:lastModifiedBy>
  <cp:lastPrinted>2025-08-01T06:52:00Z</cp:lastPrinted>
  <dcterms:modified xsi:type="dcterms:W3CDTF">2026-09-08T02:46:48Z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B87F8BB3D9164E539C8E12AF00E4B751_13</vt:lpwstr>
  </property>
  <property fmtid="{D5CDD505-2E9C-101B-9397-08002B2CF9AE}" pid="4" name="KSOTemplateDocerSaveRecord">
    <vt:lpwstr>eyJoZGlkIjoiOWIyOThlMWE4MDcxZDhlY2M2NGJjMWFhN2EwYTQ0YzkiLCJ1c2VySWQiOiIxODMyMzczODI0In0=</vt:lpwstr>
  </property>
</Properties>
</file>