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D6D3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横琴粤澳深度合作区“澳琴人才卡”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申报指南</w:t>
      </w:r>
    </w:p>
    <w:p w14:paraId="2B168E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2E1284F3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rPr>
          <w:rFonts w:hint="eastAsia" w:ascii="Times New Roman" w:hAnsi="Times New Roman" w:eastAsia="黑体" w:cs="Times New Roman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文件依据</w:t>
      </w:r>
    </w:p>
    <w:p w14:paraId="36D116E9"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79" w:lineRule="exact"/>
        <w:ind w:left="0"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《横琴粤澳深度合作区支持人才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高质量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发展若干措施》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（粤澳深合执字〔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2026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〕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1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val="en-US" w:eastAsia="zh-CN"/>
        </w:rPr>
        <w:t>7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号）（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附件1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）</w:t>
      </w:r>
    </w:p>
    <w:p w14:paraId="6850A432"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79" w:lineRule="exact"/>
        <w:ind w:left="0"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《横琴粤澳深度合作区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“澳琴人才卡”实施办法》（粤澳深合经发通〔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2026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〕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13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号）</w:t>
      </w:r>
      <w:r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下称《实施办法》）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（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附件2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）</w:t>
      </w:r>
    </w:p>
    <w:p w14:paraId="525DEF76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rPr>
          <w:rFonts w:hint="eastAsia" w:ascii="Times New Roman" w:hAnsi="Times New Roman" w:eastAsia="黑体" w:cs="Times New Roman"/>
          <w:color w:val="auto"/>
          <w:sz w:val="32"/>
          <w:szCs w:val="32"/>
          <w:highlight w:val="none"/>
          <w:lang w:val="en-US" w:eastAsia="zh-CN"/>
        </w:rPr>
      </w:pPr>
      <w:r>
        <w:rPr>
          <w:rFonts w:hint="eastAsia" w:ascii="Times New Roman" w:hAnsi="Times New Roman" w:eastAsia="黑体" w:cs="Times New Roman"/>
          <w:color w:val="auto"/>
          <w:sz w:val="32"/>
          <w:szCs w:val="32"/>
          <w:highlight w:val="none"/>
          <w:lang w:val="en-US" w:eastAsia="zh-CN"/>
        </w:rPr>
        <w:t>申报时间</w:t>
      </w:r>
      <w:bookmarkStart w:id="0" w:name="_GoBack"/>
      <w:bookmarkEnd w:id="0"/>
    </w:p>
    <w:p w14:paraId="19F0A1EF"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79" w:lineRule="exact"/>
        <w:ind w:left="0" w:leftChars="0" w:firstLine="640" w:firstLineChars="200"/>
        <w:jc w:val="left"/>
        <w:textAlignment w:val="auto"/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常年申报，集中</w:t>
      </w:r>
      <w:r>
        <w:rPr>
          <w:rFonts w:hint="eastAsia" w:ascii="Times New Roman" w:hAnsi="Times New Roman" w:eastAsia="仿宋_GB2312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审核</w:t>
      </w:r>
      <w:r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，分批认定</w:t>
      </w:r>
    </w:p>
    <w:p w14:paraId="62A9DA07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left="0" w:leftChars="0"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申领条件</w:t>
      </w:r>
    </w:p>
    <w:p w14:paraId="24B0E49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“澳琴人才卡”申领对象应当符合以下基本条件：</w:t>
      </w:r>
    </w:p>
    <w:p w14:paraId="15B7C9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（一）遵守中华人民共和国宪法和法律法规；</w:t>
      </w:r>
    </w:p>
    <w:p w14:paraId="0BCB635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（二）不得有危害中华人民共和国统一、安全、荣誉和利益</w:t>
      </w:r>
    </w:p>
    <w:p w14:paraId="50C117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left="0" w:leftChars="0" w:firstLine="0" w:firstLineChars="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的行为；</w:t>
      </w:r>
    </w:p>
    <w:p w14:paraId="1180B14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（三）品行端正、诚实守信，具有良好的职业道德，遵守公</w:t>
      </w:r>
    </w:p>
    <w:p w14:paraId="44081B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left="0" w:leftChars="0" w:firstLine="0" w:firstLineChars="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共秩序，尊重社会公德；</w:t>
      </w:r>
    </w:p>
    <w:p w14:paraId="07AD8C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（四）在合作区或澳门工作并依法缴纳满六个月的社会保险</w:t>
      </w:r>
    </w:p>
    <w:p w14:paraId="5FA8F7D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left="0" w:leftChars="0" w:firstLine="0" w:firstLineChars="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或澳门社会保障基金强制性制度供款及个人所得税或职业税，由</w:t>
      </w:r>
    </w:p>
    <w:p w14:paraId="62E980C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left="0" w:leftChars="0" w:firstLine="0" w:firstLineChars="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与合作区企业具有关联关系的澳门公司或者在合作区实质性运</w:t>
      </w:r>
    </w:p>
    <w:p w14:paraId="6C8B944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left="0" w:leftChars="0" w:firstLine="0" w:firstLineChars="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营的用人单位聘用，每年在合作区工作的时间总和不少于九十天。</w:t>
      </w:r>
    </w:p>
    <w:p w14:paraId="0193B814"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579" w:lineRule="exact"/>
        <w:jc w:val="both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与合作区企业具有关联关系的澳门公司，是指在澳门依法设立，依法缴纳税款（包括但不限于所得补充税、营业税）或者依法免税，由合作区企业直接持有（不含代持）百分之五十以上股份或者直接持有（不含代持）合作区企业百分之五十以上股份的公司，或其他合作区人才主管部门认定为关联关系的情形。</w:t>
      </w:r>
    </w:p>
    <w:p w14:paraId="22F4F375">
      <w:pPr>
        <w:pStyle w:val="9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符合下列条件之一的，可申领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A</w:t>
      </w:r>
      <w:r>
        <w:rPr>
          <w:rFonts w:hint="eastAsia" w:ascii="仿宋_GB2312" w:hAnsi="仿宋_GB2312" w:eastAsia="仿宋_GB2312" w:cs="仿宋_GB2312"/>
          <w:sz w:val="32"/>
          <w:szCs w:val="32"/>
        </w:rPr>
        <w:t>卡：</w:t>
      </w:r>
    </w:p>
    <w:p w14:paraId="2DF7E11B">
      <w:pPr>
        <w:pStyle w:val="9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（一）合作区高层次人才；</w:t>
      </w:r>
    </w:p>
    <w:p w14:paraId="1E138DA5">
      <w:pPr>
        <w:pStyle w:val="9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（二）符合澳门《人才引进法律制度》引进的人才；</w:t>
      </w:r>
    </w:p>
    <w:p w14:paraId="329ED4E7">
      <w:pPr>
        <w:pStyle w:val="9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（三）珠海市高层次人才；</w:t>
      </w:r>
    </w:p>
    <w:p w14:paraId="67E46AFB">
      <w:pPr>
        <w:pStyle w:val="9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（四）广东省人才优粤卡持卡人；</w:t>
      </w:r>
    </w:p>
    <w:p w14:paraId="28591A33">
      <w:pPr>
        <w:pStyle w:val="9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（五）符合《外国人来华工作分类标准》（A类）（一）（二）</w:t>
      </w:r>
    </w:p>
    <w:p w14:paraId="05257933">
      <w:pPr>
        <w:pStyle w:val="9"/>
        <w:ind w:left="0" w:leftChars="0" w:firstLine="0" w:firstLineChars="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项标准，并持有《外国人工作许可证》的外国高端人才（A类）；</w:t>
      </w:r>
    </w:p>
    <w:p w14:paraId="5A9DEE3F">
      <w:pPr>
        <w:pStyle w:val="9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（六）国家、广东省重大人才项目入选者；</w:t>
      </w:r>
    </w:p>
    <w:p w14:paraId="7F751765">
      <w:pPr>
        <w:pStyle w:val="9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（七）其他经合作区人才主管部门认定的相当于上述条件的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高层次人才。</w:t>
      </w:r>
    </w:p>
    <w:p w14:paraId="75793CBC">
      <w:pPr>
        <w:pStyle w:val="9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符合下列条件之一的，可申领B卡：</w:t>
      </w:r>
    </w:p>
    <w:p w14:paraId="13D3C3EF">
      <w:pPr>
        <w:pStyle w:val="9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（一）符合《外国人来华工作分类标准》（A类）（三）（四）（五）（六）项标准，并持有《外国人工作许可证》的外国高端人才（A类）；</w:t>
      </w:r>
    </w:p>
    <w:p w14:paraId="4936CCCF">
      <w:pPr>
        <w:pStyle w:val="9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（二）具有博士学位的人才；</w:t>
      </w:r>
    </w:p>
    <w:p w14:paraId="2CF2E6C4">
      <w:pPr>
        <w:pStyle w:val="9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（三）具有副高级（含）以上职称的人才；</w:t>
      </w:r>
    </w:p>
    <w:p w14:paraId="7CB6504A">
      <w:pPr>
        <w:pStyle w:val="9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（四）具有特级技师技能等级的人才。</w:t>
      </w:r>
    </w:p>
    <w:p w14:paraId="656DAA5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四、申报程序</w:t>
      </w:r>
    </w:p>
    <w:p w14:paraId="22690F15"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579" w:lineRule="exact"/>
        <w:ind w:firstLine="640" w:firstLineChars="200"/>
        <w:jc w:val="both"/>
        <w:textAlignment w:val="auto"/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</w:pPr>
      <w:r>
        <w:rPr>
          <w:rFonts w:ascii="Times New Roman" w:hAnsi="Times New Roman" w:eastAsia="仿宋_GB2312" w:cs="Times New Roman"/>
          <w:b w:val="0"/>
          <w:bCs w:val="0"/>
          <w:color w:val="000000"/>
          <w:kern w:val="0"/>
          <w:sz w:val="32"/>
          <w:szCs w:val="32"/>
          <w:highlight w:val="none"/>
          <w:lang w:val="en-US" w:eastAsia="zh-CN" w:bidi="ar"/>
        </w:rPr>
        <w:t>采取线下申报方式</w:t>
      </w: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，具体程序如下：</w:t>
      </w:r>
    </w:p>
    <w:p w14:paraId="26FF0320"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579" w:lineRule="exact"/>
        <w:ind w:firstLine="640" w:firstLineChars="200"/>
        <w:jc w:val="both"/>
        <w:textAlignment w:val="auto"/>
        <w:rPr>
          <w:rFonts w:hint="default" w:ascii="Times New Roman" w:hAnsi="Times New Roman" w:eastAsia="楷体" w:cs="Times New Roman"/>
          <w:b w:val="0"/>
          <w:bCs w:val="0"/>
          <w:color w:val="000000"/>
          <w:kern w:val="0"/>
          <w:sz w:val="32"/>
          <w:szCs w:val="32"/>
          <w:highlight w:val="none"/>
          <w:lang w:val="en-US" w:eastAsia="zh-CN" w:bidi="ar"/>
        </w:rPr>
      </w:pPr>
      <w:r>
        <w:rPr>
          <w:rFonts w:hint="default" w:ascii="Times New Roman" w:hAnsi="Times New Roman" w:eastAsia="楷体" w:cs="Times New Roman"/>
          <w:b w:val="0"/>
          <w:bCs w:val="0"/>
          <w:color w:val="000000"/>
          <w:kern w:val="0"/>
          <w:sz w:val="32"/>
          <w:szCs w:val="32"/>
          <w:highlight w:val="none"/>
          <w:lang w:val="en-US" w:eastAsia="zh-CN" w:bidi="ar"/>
        </w:rPr>
        <w:t>（一）个人申请</w:t>
      </w:r>
    </w:p>
    <w:p w14:paraId="01469DFD"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579" w:lineRule="exact"/>
        <w:ind w:firstLine="640" w:firstLineChars="200"/>
        <w:jc w:val="both"/>
        <w:textAlignment w:val="auto"/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</w:pP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申报人向所在用人单位提出申请，填写个人申报信息，并提交申报材料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，详见附件6《</w:t>
      </w: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横琴粤澳深度合作区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“澳琴人才卡”人才</w:t>
      </w: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申报表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》及附件7《</w:t>
      </w:r>
      <w:r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横琴粤澳深度合作区“澳琴人才卡”申请提交材料明细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》</w:t>
      </w: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。</w:t>
      </w:r>
    </w:p>
    <w:p w14:paraId="623B68B5"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579" w:lineRule="exact"/>
        <w:ind w:firstLine="640" w:firstLineChars="200"/>
        <w:jc w:val="both"/>
        <w:textAlignment w:val="auto"/>
        <w:rPr>
          <w:rFonts w:hint="default" w:ascii="Times New Roman" w:hAnsi="Times New Roman" w:eastAsia="楷体" w:cs="Times New Roman"/>
          <w:b w:val="0"/>
          <w:bCs w:val="0"/>
          <w:color w:val="000000"/>
          <w:kern w:val="0"/>
          <w:sz w:val="32"/>
          <w:szCs w:val="32"/>
          <w:highlight w:val="none"/>
          <w:lang w:val="en-US" w:eastAsia="zh-CN" w:bidi="ar"/>
        </w:rPr>
      </w:pPr>
      <w:r>
        <w:rPr>
          <w:rFonts w:hint="default" w:ascii="Times New Roman" w:hAnsi="Times New Roman" w:eastAsia="楷体" w:cs="Times New Roman"/>
          <w:b w:val="0"/>
          <w:bCs w:val="0"/>
          <w:color w:val="000000"/>
          <w:kern w:val="0"/>
          <w:sz w:val="32"/>
          <w:szCs w:val="32"/>
          <w:highlight w:val="none"/>
          <w:lang w:val="en-US" w:eastAsia="zh-CN" w:bidi="ar"/>
        </w:rPr>
        <w:t>（二）单位</w:t>
      </w:r>
      <w:r>
        <w:rPr>
          <w:rFonts w:hint="eastAsia" w:ascii="Times New Roman" w:hAnsi="Times New Roman" w:eastAsia="楷体" w:cs="Times New Roman"/>
          <w:b w:val="0"/>
          <w:bCs w:val="0"/>
          <w:color w:val="000000"/>
          <w:kern w:val="0"/>
          <w:sz w:val="32"/>
          <w:szCs w:val="32"/>
          <w:highlight w:val="none"/>
          <w:lang w:val="en-US" w:eastAsia="zh-CN" w:bidi="ar"/>
        </w:rPr>
        <w:t>递交</w:t>
      </w:r>
    </w:p>
    <w:p w14:paraId="4CE4FA8D"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579" w:lineRule="exact"/>
        <w:ind w:firstLine="640" w:firstLineChars="200"/>
        <w:jc w:val="both"/>
        <w:textAlignment w:val="auto"/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</w:pP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用人单位对申报人填写信息和申报材料的真实性、完整性、有效性和合法性、保密性等进行核实，并按要求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递交申报人及用人单位</w:t>
      </w: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相应申报材料至</w:t>
      </w:r>
      <w:r>
        <w:rPr>
          <w:rFonts w:hint="default" w:ascii="Times New Roman" w:hAnsi="Times New Roman" w:eastAsia="仿宋_GB2312" w:cs="Times New Roman"/>
          <w:b/>
          <w:bCs/>
          <w:i w:val="0"/>
          <w:caps w:val="0"/>
          <w:color w:val="000000"/>
          <w:spacing w:val="0"/>
          <w:kern w:val="0"/>
          <w:sz w:val="32"/>
          <w:szCs w:val="32"/>
          <w:highlight w:val="none"/>
          <w:shd w:val="clear"/>
          <w:lang w:val="en-US" w:eastAsia="zh-CN" w:bidi="ar"/>
        </w:rPr>
        <w:t>横琴粤澳深度合作区政务服务中心二楼8</w:t>
      </w:r>
      <w:r>
        <w:rPr>
          <w:rFonts w:hint="eastAsia" w:ascii="Times New Roman" w:hAnsi="Times New Roman" w:eastAsia="仿宋_GB2312" w:cs="Times New Roman"/>
          <w:b/>
          <w:bCs/>
          <w:i w:val="0"/>
          <w:caps w:val="0"/>
          <w:color w:val="000000"/>
          <w:spacing w:val="0"/>
          <w:kern w:val="0"/>
          <w:sz w:val="32"/>
          <w:szCs w:val="32"/>
          <w:highlight w:val="none"/>
          <w:shd w:val="clear"/>
          <w:lang w:val="en-US" w:eastAsia="zh-CN" w:bidi="ar"/>
        </w:rPr>
        <w:t>8</w:t>
      </w:r>
      <w:r>
        <w:rPr>
          <w:rFonts w:hint="default" w:ascii="Times New Roman" w:hAnsi="Times New Roman" w:eastAsia="仿宋_GB2312" w:cs="Times New Roman"/>
          <w:b/>
          <w:bCs/>
          <w:i w:val="0"/>
          <w:caps w:val="0"/>
          <w:color w:val="000000"/>
          <w:spacing w:val="0"/>
          <w:kern w:val="0"/>
          <w:sz w:val="32"/>
          <w:szCs w:val="32"/>
          <w:highlight w:val="none"/>
          <w:shd w:val="clear"/>
          <w:lang w:val="en-US" w:eastAsia="zh-CN" w:bidi="ar"/>
        </w:rPr>
        <w:t>号</w:t>
      </w:r>
      <w:r>
        <w:rPr>
          <w:rFonts w:hint="eastAsia" w:ascii="Times New Roman" w:hAnsi="Times New Roman" w:eastAsia="仿宋_GB2312" w:cs="Times New Roman"/>
          <w:b/>
          <w:bCs/>
          <w:i w:val="0"/>
          <w:caps w:val="0"/>
          <w:color w:val="000000"/>
          <w:spacing w:val="0"/>
          <w:kern w:val="0"/>
          <w:sz w:val="32"/>
          <w:szCs w:val="32"/>
          <w:highlight w:val="none"/>
          <w:shd w:val="clear"/>
          <w:lang w:val="en-US" w:eastAsia="zh-CN" w:bidi="ar"/>
        </w:rPr>
        <w:t>澳琴人才卡咨询</w:t>
      </w:r>
      <w:r>
        <w:rPr>
          <w:rFonts w:hint="default" w:ascii="Times New Roman" w:hAnsi="Times New Roman" w:eastAsia="仿宋_GB2312" w:cs="Times New Roman"/>
          <w:b/>
          <w:bCs/>
          <w:i w:val="0"/>
          <w:caps w:val="0"/>
          <w:color w:val="000000"/>
          <w:spacing w:val="0"/>
          <w:kern w:val="0"/>
          <w:sz w:val="32"/>
          <w:szCs w:val="32"/>
          <w:highlight w:val="none"/>
          <w:shd w:val="clear"/>
          <w:lang w:val="en-US" w:eastAsia="zh-CN" w:bidi="ar"/>
        </w:rPr>
        <w:t>服务窗口</w:t>
      </w: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。</w:t>
      </w:r>
    </w:p>
    <w:p w14:paraId="346271DA"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579" w:lineRule="exact"/>
        <w:ind w:firstLine="640" w:firstLineChars="200"/>
        <w:jc w:val="both"/>
        <w:textAlignment w:val="auto"/>
        <w:rPr>
          <w:rFonts w:hint="eastAsia" w:ascii="楷体_GB2312" w:hAnsi="楷体_GB2312" w:eastAsia="楷体_GB2312" w:cs="楷体_GB2312"/>
          <w:color w:val="000000"/>
          <w:kern w:val="0"/>
          <w:sz w:val="32"/>
          <w:szCs w:val="32"/>
          <w:highlight w:val="none"/>
          <w:lang w:val="en-US" w:eastAsia="zh-CN" w:bidi="ar"/>
        </w:rPr>
      </w:pPr>
      <w:r>
        <w:rPr>
          <w:rFonts w:hint="eastAsia" w:ascii="东文宋体" w:hAnsi="东文宋体" w:eastAsia="东文宋体" w:cs="东文宋体"/>
          <w:color w:val="000000"/>
          <w:kern w:val="0"/>
          <w:sz w:val="32"/>
          <w:szCs w:val="32"/>
          <w:highlight w:val="none"/>
          <w:lang w:val="en-US" w:eastAsia="zh-CN" w:bidi="ar"/>
        </w:rPr>
        <w:t>▲</w:t>
      </w:r>
      <w:r>
        <w:rPr>
          <w:rFonts w:hint="eastAsia" w:ascii="楷体_GB2312" w:hAnsi="楷体_GB2312" w:eastAsia="楷体_GB2312" w:cs="楷体_GB2312"/>
          <w:color w:val="000000"/>
          <w:kern w:val="0"/>
          <w:sz w:val="32"/>
          <w:szCs w:val="32"/>
          <w:highlight w:val="none"/>
          <w:lang w:val="en-US" w:eastAsia="zh-CN" w:bidi="ar"/>
        </w:rPr>
        <w:t>申请人如由与合作区企业具有关联关系的澳门公司聘用，递交材料的用人单位须为合作区企业。</w:t>
      </w:r>
    </w:p>
    <w:p w14:paraId="6DD71466">
      <w:pPr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579" w:lineRule="exact"/>
        <w:ind w:firstLine="640" w:firstLineChars="200"/>
        <w:jc w:val="both"/>
        <w:textAlignment w:val="auto"/>
        <w:rPr>
          <w:rFonts w:hint="default" w:ascii="Times New Roman" w:hAnsi="Times New Roman" w:eastAsia="楷体" w:cs="Times New Roman"/>
          <w:b w:val="0"/>
          <w:bCs w:val="0"/>
          <w:color w:val="000000"/>
          <w:kern w:val="0"/>
          <w:sz w:val="32"/>
          <w:szCs w:val="32"/>
          <w:highlight w:val="none"/>
          <w:lang w:val="en-US" w:eastAsia="zh-CN" w:bidi="ar"/>
        </w:rPr>
      </w:pPr>
      <w:r>
        <w:rPr>
          <w:rFonts w:hint="default" w:ascii="Times New Roman" w:hAnsi="Times New Roman" w:eastAsia="楷体" w:cs="Times New Roman"/>
          <w:b w:val="0"/>
          <w:bCs w:val="0"/>
          <w:color w:val="000000"/>
          <w:kern w:val="0"/>
          <w:sz w:val="32"/>
          <w:szCs w:val="32"/>
          <w:highlight w:val="none"/>
          <w:lang w:val="en-US" w:eastAsia="zh-CN" w:bidi="ar"/>
        </w:rPr>
        <w:t>（三）</w:t>
      </w:r>
      <w:r>
        <w:rPr>
          <w:rFonts w:hint="eastAsia" w:ascii="Times New Roman" w:hAnsi="Times New Roman" w:eastAsia="楷体" w:cs="Times New Roman"/>
          <w:b w:val="0"/>
          <w:bCs w:val="0"/>
          <w:color w:val="000000"/>
          <w:kern w:val="0"/>
          <w:sz w:val="32"/>
          <w:szCs w:val="32"/>
          <w:highlight w:val="none"/>
          <w:lang w:val="en-US" w:eastAsia="zh-CN" w:bidi="ar"/>
        </w:rPr>
        <w:t>材料审核</w:t>
      </w:r>
    </w:p>
    <w:p w14:paraId="785EC061">
      <w:pPr>
        <w:keepNext w:val="0"/>
        <w:keepLines w:val="0"/>
        <w:pageBreakBefore w:val="0"/>
        <w:widowControl w:val="0"/>
        <w:numPr>
          <w:ilvl w:val="-1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579" w:lineRule="exac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</w:pP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合作区</w:t>
      </w:r>
      <w:r>
        <w:rPr>
          <w:rFonts w:hint="default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人才主管部门</w:t>
      </w:r>
      <w:r>
        <w:rPr>
          <w:rFonts w:hint="default" w:ascii="Times New Roman" w:hAnsi="Times New Roman" w:eastAsia="仿宋_GB2312" w:cs="Times New Roman"/>
          <w:sz w:val="32"/>
          <w:szCs w:val="32"/>
          <w:highlight w:val="none"/>
          <w:lang w:val="en-US" w:eastAsia="zh-CN"/>
        </w:rPr>
        <w:t>组织受理机构</w:t>
      </w: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对申报人相关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材料</w:t>
      </w: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进行</w:t>
      </w:r>
      <w:r>
        <w:rPr>
          <w:rFonts w:hint="default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审核</w:t>
      </w: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。</w:t>
      </w:r>
      <w:r>
        <w:rPr>
          <w:rFonts w:hint="default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审核通过的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纳入公示</w:t>
      </w:r>
      <w:r>
        <w:rPr>
          <w:rFonts w:hint="default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程序，审核不通过的，由受理机构统一通知申报单位在5个工作日内进行修改完善，逾期不提交视同放弃。</w:t>
      </w:r>
    </w:p>
    <w:p w14:paraId="4EC8403F">
      <w:pPr>
        <w:keepNext w:val="0"/>
        <w:keepLines w:val="0"/>
        <w:pageBreakBefore w:val="0"/>
        <w:widowControl w:val="0"/>
        <w:numPr>
          <w:ilvl w:val="-1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579" w:lineRule="exact"/>
        <w:ind w:firstLine="640" w:firstLineChars="200"/>
        <w:jc w:val="both"/>
        <w:textAlignment w:val="auto"/>
        <w:rPr>
          <w:rFonts w:hint="default" w:ascii="Times New Roman" w:hAnsi="Times New Roman" w:eastAsia="楷体" w:cs="Times New Roman"/>
          <w:b w:val="0"/>
          <w:bCs w:val="0"/>
          <w:color w:val="000000"/>
          <w:kern w:val="0"/>
          <w:sz w:val="32"/>
          <w:szCs w:val="32"/>
          <w:highlight w:val="none"/>
          <w:lang w:val="en-US" w:eastAsia="zh-CN" w:bidi="ar"/>
        </w:rPr>
      </w:pPr>
      <w:r>
        <w:rPr>
          <w:rFonts w:hint="default" w:ascii="Times New Roman" w:hAnsi="Times New Roman" w:eastAsia="楷体" w:cs="Times New Roman"/>
          <w:b w:val="0"/>
          <w:bCs w:val="0"/>
          <w:color w:val="000000"/>
          <w:kern w:val="0"/>
          <w:sz w:val="32"/>
          <w:szCs w:val="32"/>
          <w:highlight w:val="none"/>
          <w:lang w:val="en-US" w:eastAsia="zh-CN" w:bidi="ar"/>
        </w:rPr>
        <w:t>（四）公示</w:t>
      </w:r>
    </w:p>
    <w:p w14:paraId="30398B33">
      <w:pPr>
        <w:keepNext w:val="0"/>
        <w:keepLines w:val="0"/>
        <w:pageBreakBefore w:val="0"/>
        <w:widowControl w:val="0"/>
        <w:numPr>
          <w:ilvl w:val="-1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579" w:lineRule="exact"/>
        <w:ind w:firstLine="640" w:firstLineChars="200"/>
        <w:jc w:val="both"/>
        <w:textAlignment w:val="auto"/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</w:pP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审核通过的申报人</w:t>
      </w:r>
      <w:r>
        <w:rPr>
          <w:rFonts w:hint="default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由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其</w:t>
      </w: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所在单位</w:t>
      </w:r>
      <w:r>
        <w:rPr>
          <w:rFonts w:hint="default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进行内部</w:t>
      </w: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公示</w:t>
      </w:r>
      <w:r>
        <w:rPr>
          <w:rFonts w:hint="default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，</w:t>
      </w: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公示期为</w:t>
      </w:r>
      <w:r>
        <w:rPr>
          <w:rFonts w:hint="default" w:ascii="Times New Roman" w:hAnsi="Times New Roman" w:eastAsia="宋体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5</w:t>
      </w: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个工作日</w:t>
      </w:r>
      <w:r>
        <w:rPr>
          <w:rFonts w:hint="default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。公示期满，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申报人</w:t>
      </w: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所在单位</w:t>
      </w:r>
      <w:r>
        <w:rPr>
          <w:rFonts w:hint="default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向合作区人才主管部门提供公示情况报告及公示照片。</w:t>
      </w:r>
    </w:p>
    <w:p w14:paraId="355E3BB7">
      <w:pPr>
        <w:keepNext w:val="0"/>
        <w:keepLines w:val="0"/>
        <w:pageBreakBefore w:val="0"/>
        <w:widowControl w:val="0"/>
        <w:numPr>
          <w:ilvl w:val="-1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Lines="0" w:afterLines="0" w:line="579" w:lineRule="exact"/>
        <w:ind w:firstLine="640" w:firstLineChars="200"/>
        <w:jc w:val="both"/>
        <w:textAlignment w:val="auto"/>
        <w:rPr>
          <w:rFonts w:hint="default" w:ascii="Times New Roman" w:hAnsi="Times New Roman" w:eastAsia="楷体" w:cs="Times New Roman"/>
          <w:b w:val="0"/>
          <w:bCs w:val="0"/>
          <w:color w:val="000000"/>
          <w:kern w:val="0"/>
          <w:sz w:val="32"/>
          <w:szCs w:val="32"/>
          <w:highlight w:val="none"/>
          <w:lang w:val="en-US" w:eastAsia="zh-CN" w:bidi="ar"/>
        </w:rPr>
      </w:pPr>
      <w:r>
        <w:rPr>
          <w:rFonts w:hint="default" w:ascii="Times New Roman" w:hAnsi="Times New Roman" w:eastAsia="楷体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（</w:t>
      </w:r>
      <w:r>
        <w:rPr>
          <w:rFonts w:hint="eastAsia" w:ascii="Times New Roman" w:hAnsi="Times New Roman" w:eastAsia="楷体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五</w:t>
      </w:r>
      <w:r>
        <w:rPr>
          <w:rFonts w:hint="default" w:ascii="Times New Roman" w:hAnsi="Times New Roman" w:eastAsia="楷体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）</w:t>
      </w:r>
      <w:r>
        <w:rPr>
          <w:rFonts w:hint="eastAsia" w:ascii="Times New Roman" w:hAnsi="Times New Roman" w:eastAsia="楷体_GB2312" w:cs="Times New Roman"/>
          <w:b w:val="0"/>
          <w:bCs w:val="0"/>
          <w:color w:val="000000"/>
          <w:kern w:val="0"/>
          <w:sz w:val="32"/>
          <w:szCs w:val="32"/>
          <w:highlight w:val="none"/>
          <w:lang w:val="en-US" w:eastAsia="zh-CN" w:bidi="ar"/>
        </w:rPr>
        <w:t>发卡</w:t>
      </w:r>
    </w:p>
    <w:p w14:paraId="163EF26D">
      <w:pPr>
        <w:numPr>
          <w:ilvl w:val="0"/>
          <w:numId w:val="0"/>
        </w:numPr>
        <w:spacing w:beforeLines="0" w:afterLines="0" w:line="579" w:lineRule="exact"/>
        <w:ind w:firstLine="640" w:firstLineChars="200"/>
        <w:rPr>
          <w:rFonts w:hint="eastAsia" w:ascii="楷体" w:hAnsi="楷体" w:eastAsia="楷体" w:cs="楷体"/>
          <w:sz w:val="32"/>
          <w:szCs w:val="32"/>
        </w:rPr>
      </w:pPr>
      <w:r>
        <w:rPr>
          <w:rFonts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公示无异议的</w:t>
      </w:r>
      <w:r>
        <w:rPr>
          <w:rFonts w:hint="eastAsia" w:ascii="Times New Roman" w:hAnsi="Times New Roman" w:eastAsia="仿宋_GB2312" w:cs="Times New Roman"/>
          <w:color w:val="000000"/>
          <w:kern w:val="0"/>
          <w:sz w:val="32"/>
          <w:szCs w:val="32"/>
          <w:highlight w:val="none"/>
          <w:lang w:val="en-US" w:eastAsia="zh-CN" w:bidi="ar"/>
        </w:rPr>
        <w:t>申报人在申报时选择制卡的</w:t>
      </w:r>
      <w:r>
        <w:rPr>
          <w:rFonts w:hint="eastAsia" w:ascii="Times New Roman" w:hAnsi="Times New Roman" w:eastAsia="仿宋" w:cs="Times New Roman"/>
          <w:color w:val="auto"/>
          <w:kern w:val="0"/>
          <w:sz w:val="32"/>
          <w:szCs w:val="32"/>
          <w:highlight w:val="none"/>
          <w:lang w:val="en-US" w:eastAsia="zh-CN"/>
        </w:rPr>
        <w:t>银行机构按相关规定制卡完成后，可通过邮寄方式或到银行指定的线下网点领取实体人才卡（银行卡）</w:t>
      </w:r>
      <w:r>
        <w:rPr>
          <w:rFonts w:hint="default" w:ascii="Times New Roman" w:hAnsi="Times New Roman" w:eastAsia="仿宋" w:cs="Times New Roman"/>
          <w:color w:val="auto"/>
          <w:kern w:val="0"/>
          <w:sz w:val="32"/>
          <w:szCs w:val="32"/>
          <w:highlight w:val="none"/>
          <w:lang w:val="zh-CN"/>
        </w:rPr>
        <w:t>。</w:t>
      </w:r>
    </w:p>
    <w:p w14:paraId="332F59F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z w:val="32"/>
          <w:szCs w:val="32"/>
        </w:rPr>
        <w:t>五、</w:t>
      </w:r>
      <w:r>
        <w:rPr>
          <w:rFonts w:hint="eastAsia" w:ascii="黑体" w:hAnsi="黑体" w:eastAsia="黑体" w:cs="黑体"/>
          <w:sz w:val="32"/>
          <w:szCs w:val="32"/>
          <w:lang w:eastAsia="zh-CN"/>
        </w:rPr>
        <w:t>申请材料</w:t>
      </w:r>
    </w:p>
    <w:p w14:paraId="38AEB938">
      <w:pPr>
        <w:widowControl/>
        <w:adjustRightInd w:val="0"/>
        <w:snapToGrid w:val="0"/>
        <w:spacing w:line="579" w:lineRule="exact"/>
        <w:ind w:firstLine="640" w:firstLineChars="200"/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:lang w:val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用人单位和申请人</w:t>
      </w:r>
      <w:r>
        <w:rPr>
          <w:rFonts w:hint="eastAsia" w:ascii="Times New Roman" w:hAnsi="Times New Roman" w:eastAsia="仿宋_GB2312" w:cs="Times New Roman"/>
          <w:color w:val="000000" w:themeColor="text1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  <w:t>提交</w:t>
      </w:r>
      <w:r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的全部材料须为原件彩色扫描（</w:t>
      </w:r>
      <w:r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:lang w:val="zh-CN"/>
          <w14:textFill>
            <w14:solidFill>
              <w14:schemeClr w14:val="tx1"/>
            </w14:solidFill>
          </w14:textFill>
        </w:rPr>
        <w:t>内容完整，图文清晰</w:t>
      </w:r>
      <w:r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）</w:t>
      </w:r>
      <w:r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:lang w:val="zh-CN"/>
          <w14:textFill>
            <w14:solidFill>
              <w14:schemeClr w14:val="tx1"/>
            </w14:solidFill>
          </w14:textFill>
        </w:rPr>
        <w:t>。</w:t>
      </w:r>
    </w:p>
    <w:p w14:paraId="3F751512">
      <w:pPr>
        <w:widowControl/>
        <w:adjustRightInd w:val="0"/>
        <w:snapToGrid w:val="0"/>
        <w:spacing w:line="579" w:lineRule="exact"/>
        <w:ind w:firstLine="640" w:firstLineChars="200"/>
        <w:rPr>
          <w:rFonts w:hint="default" w:ascii="Times New Roman" w:hAnsi="Times New Roman" w:eastAsia="仿宋_GB2312" w:cs="Times New Roman"/>
          <w:b/>
          <w:bCs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提交材料详见《横琴粤澳深度合作区“澳琴人才卡”申请提交材料明细》（附件</w:t>
      </w:r>
      <w:r>
        <w:rPr>
          <w:rFonts w:hint="eastAsia" w:ascii="Times New Roman" w:hAnsi="Times New Roman" w:eastAsia="仿宋_GB2312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）。</w:t>
      </w:r>
    </w:p>
    <w:p w14:paraId="0A512AFD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有关说明</w:t>
      </w:r>
    </w:p>
    <w:p w14:paraId="34FAE52A">
      <w:pPr>
        <w:pStyle w:val="9"/>
        <w:numPr>
          <w:ilvl w:val="0"/>
          <w:numId w:val="3"/>
        </w:numPr>
        <w:ind w:firstLine="640" w:firstLineChars="20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eastAsia="zh-CN"/>
        </w:rPr>
        <w:t>“澳琴人才卡”有效期自发卡之日起至</w:t>
      </w:r>
      <w:r>
        <w:rPr>
          <w:rFonts w:hint="eastAsia" w:ascii="Times New Roman" w:hAnsi="Times New Roman" w:eastAsia="仿宋_GB2312" w:cs="Times New Roman"/>
          <w:color w:val="000000" w:themeColor="text1"/>
          <w:kern w:val="2"/>
          <w:sz w:val="32"/>
          <w:szCs w:val="32"/>
          <w:highlight w:val="none"/>
          <w:lang w:val="en-US" w:eastAsia="zh-CN" w:bidi="ar-SA"/>
          <w14:textFill>
            <w14:solidFill>
              <w14:schemeClr w14:val="tx1"/>
            </w14:solidFill>
          </w14:textFill>
        </w:rPr>
        <w:t>2029</w:t>
      </w:r>
      <w:r>
        <w:rPr>
          <w:rFonts w:hint="eastAsia"/>
          <w:sz w:val="32"/>
          <w:szCs w:val="32"/>
          <w:lang w:val="en-US" w:eastAsia="zh-CN"/>
        </w:rPr>
        <w:t>年</w:t>
      </w:r>
      <w:r>
        <w:rPr>
          <w:rFonts w:hint="eastAsia" w:ascii="Times New Roman" w:hAnsi="Times New Roman" w:eastAsia="仿宋_GB2312" w:cs="Times New Roman"/>
          <w:color w:val="000000" w:themeColor="text1"/>
          <w:kern w:val="2"/>
          <w:sz w:val="32"/>
          <w:szCs w:val="32"/>
          <w:highlight w:val="none"/>
          <w:lang w:val="en-US" w:eastAsia="zh-CN" w:bidi="ar-SA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sz w:val="32"/>
          <w:szCs w:val="32"/>
          <w:lang w:val="en-US" w:eastAsia="zh-CN"/>
        </w:rPr>
        <w:t>月</w:t>
      </w:r>
      <w:r>
        <w:rPr>
          <w:rFonts w:hint="eastAsia" w:ascii="Times New Roman" w:hAnsi="Times New Roman" w:eastAsia="仿宋_GB2312" w:cs="Times New Roman"/>
          <w:color w:val="000000" w:themeColor="text1"/>
          <w:kern w:val="2"/>
          <w:sz w:val="32"/>
          <w:szCs w:val="32"/>
          <w:highlight w:val="none"/>
          <w:lang w:val="en-US" w:eastAsia="zh-CN" w:bidi="ar-SA"/>
          <w14:textFill>
            <w14:solidFill>
              <w14:schemeClr w14:val="tx1"/>
            </w14:solidFill>
          </w14:textFill>
        </w:rPr>
        <w:t>31</w:t>
      </w:r>
      <w:r>
        <w:rPr>
          <w:rFonts w:hint="eastAsia"/>
          <w:sz w:val="32"/>
          <w:szCs w:val="32"/>
          <w:lang w:val="en-US" w:eastAsia="zh-CN"/>
        </w:rPr>
        <w:t>日。</w:t>
      </w:r>
    </w:p>
    <w:p w14:paraId="451698B2">
      <w:pPr>
        <w:pStyle w:val="9"/>
        <w:numPr>
          <w:ilvl w:val="0"/>
          <w:numId w:val="3"/>
        </w:numPr>
        <w:ind w:firstLine="640" w:firstLineChars="20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持卡人工作单位或者居住地等情况发生变化的，应当在三十日内向受理审核部门办理相关信息变更手续。</w:t>
      </w:r>
    </w:p>
    <w:p w14:paraId="2D16A658">
      <w:pPr>
        <w:pStyle w:val="9"/>
        <w:numPr>
          <w:ilvl w:val="0"/>
          <w:numId w:val="0"/>
        </w:numPr>
        <w:ind w:firstLine="640" w:firstLineChars="20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（三）持卡人申领条件发生变化致使其不满足所对应《实施</w:t>
      </w:r>
      <w:r>
        <w:rPr>
          <w:rFonts w:hint="eastAsia"/>
          <w:color w:val="auto"/>
          <w:sz w:val="32"/>
          <w:szCs w:val="32"/>
          <w:lang w:eastAsia="zh-CN"/>
        </w:rPr>
        <w:t>办法</w:t>
      </w:r>
      <w:r>
        <w:rPr>
          <w:rFonts w:hint="eastAsia"/>
          <w:sz w:val="32"/>
          <w:szCs w:val="32"/>
          <w:lang w:eastAsia="zh-CN"/>
        </w:rPr>
        <w:t>》第三条申领条件者，受理审核部门可取消其“澳琴人才卡”相关待遇。</w:t>
      </w:r>
    </w:p>
    <w:p w14:paraId="6E7EE445">
      <w:pPr>
        <w:pStyle w:val="9"/>
        <w:numPr>
          <w:ilvl w:val="0"/>
          <w:numId w:val="0"/>
        </w:numPr>
        <w:ind w:firstLine="640" w:firstLineChars="20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val="en-US" w:eastAsia="zh-CN"/>
        </w:rPr>
        <w:t xml:space="preserve">（四）“澳琴人才卡”遗失时，持卡人应及时向受理审核部 </w:t>
      </w:r>
    </w:p>
    <w:p w14:paraId="2189F658">
      <w:pPr>
        <w:pStyle w:val="9"/>
        <w:numPr>
          <w:ilvl w:val="0"/>
          <w:numId w:val="0"/>
        </w:numPr>
        <w:ind w:left="0" w:leftChars="0" w:firstLine="0" w:firstLine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val="en-US" w:eastAsia="zh-CN"/>
        </w:rPr>
        <w:t xml:space="preserve">门提供本人出具的遗失说明，办理挂失并申请补发。 </w:t>
      </w:r>
    </w:p>
    <w:p w14:paraId="6B0D778C">
      <w:pPr>
        <w:pStyle w:val="9"/>
        <w:numPr>
          <w:ilvl w:val="0"/>
          <w:numId w:val="0"/>
        </w:numPr>
        <w:ind w:firstLine="640" w:firstLineChars="200"/>
        <w:rPr>
          <w:rFonts w:hint="eastAsia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（</w:t>
      </w:r>
      <w:r>
        <w:rPr>
          <w:rFonts w:hint="eastAsia" w:ascii="仿宋_GB2312" w:hAnsi="仿宋_GB2312" w:cs="仿宋_GB2312"/>
          <w:sz w:val="32"/>
          <w:szCs w:val="32"/>
          <w:lang w:eastAsia="zh-CN"/>
        </w:rPr>
        <w:t>五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）</w:t>
      </w:r>
      <w:r>
        <w:rPr>
          <w:rFonts w:hint="eastAsia"/>
          <w:sz w:val="32"/>
          <w:szCs w:val="32"/>
          <w:lang w:val="en-US" w:eastAsia="zh-CN"/>
        </w:rPr>
        <w:t xml:space="preserve">对发生违法违纪行为、使用虚假材料取得“澳琴人才 </w:t>
      </w:r>
    </w:p>
    <w:p w14:paraId="20367836">
      <w:pPr>
        <w:pStyle w:val="9"/>
        <w:numPr>
          <w:ilvl w:val="0"/>
          <w:numId w:val="0"/>
        </w:numPr>
        <w:ind w:left="0" w:leftChars="0" w:firstLine="0" w:firstLine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val="en-US" w:eastAsia="zh-CN"/>
        </w:rPr>
        <w:t xml:space="preserve">卡”或者违反职业道德、学术不端造成恶劣影响的持卡人，由受 </w:t>
      </w:r>
    </w:p>
    <w:p w14:paraId="65296ABD">
      <w:pPr>
        <w:pStyle w:val="9"/>
        <w:numPr>
          <w:ilvl w:val="0"/>
          <w:numId w:val="0"/>
        </w:numPr>
        <w:ind w:left="0" w:leftChars="0" w:firstLine="0" w:firstLine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val="en-US" w:eastAsia="zh-CN"/>
        </w:rPr>
        <w:t xml:space="preserve">理审核部门收回注销其“澳琴人才卡”，并作相关记录。受理审 </w:t>
      </w:r>
    </w:p>
    <w:p w14:paraId="73BD8E77">
      <w:pPr>
        <w:pStyle w:val="9"/>
        <w:numPr>
          <w:ilvl w:val="0"/>
          <w:numId w:val="0"/>
        </w:numPr>
        <w:ind w:left="0" w:leftChars="0" w:firstLine="0" w:firstLine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val="en-US" w:eastAsia="zh-CN"/>
        </w:rPr>
        <w:t xml:space="preserve">核部门可视情况暂停或收回相关待遇。 </w:t>
      </w:r>
    </w:p>
    <w:p w14:paraId="7C479DC3">
      <w:pPr>
        <w:pStyle w:val="9"/>
        <w:numPr>
          <w:ilvl w:val="0"/>
          <w:numId w:val="0"/>
        </w:numPr>
        <w:ind w:firstLine="640" w:firstLineChars="20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val="en-US" w:eastAsia="zh-CN"/>
        </w:rPr>
        <w:t xml:space="preserve">（六）有关部门（承担公共管理职能的组织等）及其工作人 </w:t>
      </w:r>
    </w:p>
    <w:p w14:paraId="7C8DE73F">
      <w:pPr>
        <w:pStyle w:val="9"/>
        <w:numPr>
          <w:ilvl w:val="0"/>
          <w:numId w:val="0"/>
        </w:numPr>
        <w:ind w:left="0" w:leftChars="0" w:firstLine="0" w:firstLine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val="en-US" w:eastAsia="zh-CN"/>
        </w:rPr>
        <w:t xml:space="preserve">员违反本办法的规定，不依法履行职责的，由有权机关责令改正， </w:t>
      </w:r>
    </w:p>
    <w:p w14:paraId="1C62AD7D">
      <w:pPr>
        <w:pStyle w:val="9"/>
        <w:numPr>
          <w:ilvl w:val="0"/>
          <w:numId w:val="0"/>
        </w:numPr>
        <w:ind w:left="0" w:leftChars="0" w:firstLine="0" w:firstLine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val="en-US" w:eastAsia="zh-CN"/>
        </w:rPr>
        <w:t xml:space="preserve">对负有责任的领导人员和直接责任人员依法给予处分；构成犯罪 </w:t>
      </w:r>
    </w:p>
    <w:p w14:paraId="0802504A">
      <w:pPr>
        <w:pStyle w:val="9"/>
        <w:numPr>
          <w:ilvl w:val="0"/>
          <w:numId w:val="0"/>
        </w:numPr>
        <w:ind w:left="0" w:leftChars="0" w:firstLine="0" w:firstLine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val="en-US" w:eastAsia="zh-CN"/>
        </w:rPr>
        <w:t>的，依法追究刑事责任。</w:t>
      </w:r>
    </w:p>
    <w:p w14:paraId="37431A2F">
      <w:pPr>
        <w:pStyle w:val="11"/>
        <w:adjustRightInd w:val="0"/>
        <w:snapToGrid w:val="0"/>
        <w:spacing w:line="579" w:lineRule="exact"/>
        <w:ind w:firstLine="640"/>
        <w:rPr>
          <w:rFonts w:hint="default" w:ascii="Times New Roman" w:hAnsi="Times New Roman" w:eastAsia="黑体" w:cs="Times New Roman"/>
          <w:color w:val="000000" w:themeColor="text1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  <w:t>七</w:t>
      </w:r>
      <w:r>
        <w:rPr>
          <w:rFonts w:hint="default" w:ascii="Times New Roman" w:hAnsi="Times New Roman" w:eastAsia="黑体" w:cs="Times New Roman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、</w:t>
      </w:r>
      <w:r>
        <w:rPr>
          <w:rFonts w:hint="default" w:ascii="Times New Roman" w:hAnsi="Times New Roman" w:eastAsia="黑体" w:cs="Times New Roman"/>
          <w:color w:val="000000" w:themeColor="text1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  <w:t>咨询电话</w:t>
      </w:r>
    </w:p>
    <w:p w14:paraId="5A6E92F0">
      <w:pPr>
        <w:spacing w:line="579" w:lineRule="exact"/>
        <w:ind w:firstLine="640" w:firstLineChars="200"/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:lang w:val="zh-CN"/>
          <w14:textFill>
            <w14:solidFill>
              <w14:schemeClr w14:val="tx1"/>
            </w14:solidFill>
          </w14:textFill>
        </w:rPr>
        <w:t>政策审核咨询：0756-</w:t>
      </w:r>
      <w:r>
        <w:rPr>
          <w:rFonts w:hint="eastAsia" w:ascii="Times New Roman" w:hAnsi="Times New Roman" w:eastAsia="仿宋_GB2312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2995527</w:t>
      </w:r>
    </w:p>
    <w:p w14:paraId="1A2EAF2A">
      <w:pPr>
        <w:pStyle w:val="9"/>
        <w:ind w:left="0" w:leftChars="0" w:firstLine="640" w:firstLineChars="200"/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Times New Roman" w:hAnsi="Times New Roman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咨询</w:t>
      </w:r>
      <w:r>
        <w:rPr>
          <w:rFonts w:hint="default" w:ascii="Times New Roman" w:hAnsi="Times New Roman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时间</w:t>
      </w:r>
      <w:r>
        <w:rPr>
          <w:rFonts w:hint="eastAsia" w:ascii="Times New Roman" w:hAnsi="Times New Roman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为</w:t>
      </w:r>
      <w:r>
        <w:rPr>
          <w:rFonts w:hint="default" w:ascii="Times New Roman" w:hAnsi="Times New Roman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工作日9:00-12:00</w:t>
      </w:r>
      <w:r>
        <w:rPr>
          <w:rFonts w:hint="eastAsia" w:ascii="Times New Roman" w:hAnsi="Times New Roman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,</w:t>
      </w:r>
      <w:r>
        <w:rPr>
          <w:rFonts w:hint="eastAsia" w:ascii="Times New Roman" w:hAnsi="Times New Roman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14:00-18:00）</w:t>
      </w:r>
    </w:p>
    <w:p w14:paraId="0367FF16">
      <w:pPr>
        <w:pStyle w:val="11"/>
        <w:adjustRightInd w:val="0"/>
        <w:snapToGrid w:val="0"/>
        <w:spacing w:line="579" w:lineRule="exact"/>
        <w:ind w:firstLine="640"/>
        <w:rPr>
          <w:rFonts w:hint="default" w:ascii="Times New Roman" w:hAnsi="Times New Roman" w:eastAsia="黑体" w:cs="Times New Roman"/>
          <w:color w:val="000000" w:themeColor="text1"/>
          <w:sz w:val="32"/>
          <w:szCs w:val="32"/>
          <w:highlight w:val="none"/>
          <w:lang w:val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 w:cs="Times New Roman"/>
          <w:color w:val="000000" w:themeColor="text1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  <w:t>八</w:t>
      </w:r>
      <w:r>
        <w:rPr>
          <w:rFonts w:hint="default" w:ascii="Times New Roman" w:hAnsi="Times New Roman" w:eastAsia="黑体" w:cs="Times New Roman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、</w:t>
      </w:r>
      <w:r>
        <w:rPr>
          <w:rFonts w:hint="default" w:ascii="Times New Roman" w:hAnsi="Times New Roman" w:eastAsia="黑体" w:cs="Times New Roman"/>
          <w:color w:val="000000" w:themeColor="text1"/>
          <w:sz w:val="32"/>
          <w:szCs w:val="32"/>
          <w:highlight w:val="none"/>
          <w:lang w:val="zh-CN"/>
          <w14:textFill>
            <w14:solidFill>
              <w14:schemeClr w14:val="tx1"/>
            </w14:solidFill>
          </w14:textFill>
        </w:rPr>
        <w:t>相关附件</w:t>
      </w:r>
    </w:p>
    <w:p w14:paraId="3D63D0B1"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79" w:lineRule="exact"/>
        <w:ind w:left="0"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</w:pP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val="en-US" w:eastAsia="zh-CN" w:bidi="ar-SA"/>
          <w14:textFill>
            <w14:solidFill>
              <w14:schemeClr w14:val="tx1"/>
            </w14:solidFill>
          </w14:textFill>
        </w:rPr>
        <w:t>1.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《横琴粤澳深度合作区支持人才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高质量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发展若干措施》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（粤澳深合执字〔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2026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〕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1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val="en-US" w:eastAsia="zh-CN"/>
        </w:rPr>
        <w:t>7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号）（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附件</w:t>
      </w: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val="en-US" w:eastAsia="zh-CN" w:bidi="ar-SA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）</w:t>
      </w:r>
    </w:p>
    <w:p w14:paraId="4984BDF2"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79" w:lineRule="exact"/>
        <w:ind w:left="0"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</w:pP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val="en-US" w:eastAsia="zh-CN" w:bidi="ar-SA"/>
          <w14:textFill>
            <w14:solidFill>
              <w14:schemeClr w14:val="tx1"/>
            </w14:solidFill>
          </w14:textFill>
        </w:rPr>
        <w:t>2.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《横琴粤澳深度合作区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“澳琴人才卡”实施办法》（粤澳深合经发通〔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2026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〕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highlight w:val="none"/>
          <w:lang w:eastAsia="zh-CN"/>
        </w:rPr>
        <w:t>13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号）（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附件</w:t>
      </w: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val="en-US" w:eastAsia="zh-CN" w:bidi="ar-SA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）</w:t>
      </w:r>
    </w:p>
    <w:p w14:paraId="418F7F4C">
      <w:pPr>
        <w:adjustRightInd w:val="0"/>
        <w:snapToGrid w:val="0"/>
        <w:spacing w:line="579" w:lineRule="exact"/>
        <w:ind w:firstLine="640" w:firstLineChars="200"/>
        <w:jc w:val="left"/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3.《用人单位实质性运营自评承诺表》</w:t>
      </w: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  <w:t>（附件</w:t>
      </w: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  <w:t>）</w:t>
      </w:r>
    </w:p>
    <w:p w14:paraId="65138379">
      <w:pPr>
        <w:adjustRightInd w:val="0"/>
        <w:snapToGrid w:val="0"/>
        <w:spacing w:line="579" w:lineRule="exact"/>
        <w:ind w:firstLine="640" w:firstLineChars="200"/>
        <w:jc w:val="left"/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default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.《用人单位承诺书》</w:t>
      </w: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  <w:t>（附件</w:t>
      </w: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  <w:t>）</w:t>
      </w:r>
    </w:p>
    <w:p w14:paraId="69848487">
      <w:pPr>
        <w:adjustRightInd w:val="0"/>
        <w:snapToGrid w:val="0"/>
        <w:spacing w:line="579" w:lineRule="exact"/>
        <w:ind w:firstLine="640" w:firstLineChars="200"/>
        <w:jc w:val="left"/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default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.《个人承诺书》</w:t>
      </w: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  <w:t>（附件</w:t>
      </w: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  <w:t>）</w:t>
      </w:r>
    </w:p>
    <w:p w14:paraId="4B4510B6">
      <w:pPr>
        <w:adjustRightInd w:val="0"/>
        <w:snapToGrid w:val="0"/>
        <w:spacing w:line="579" w:lineRule="exact"/>
        <w:ind w:firstLine="640" w:firstLineChars="200"/>
        <w:jc w:val="left"/>
        <w:rPr>
          <w:rFonts w:hint="default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6.《横琴粤澳深度合作区“澳琴人才卡”人才申报表》（附件6）</w:t>
      </w:r>
    </w:p>
    <w:p w14:paraId="527CE506">
      <w:pPr>
        <w:adjustRightInd w:val="0"/>
        <w:snapToGrid w:val="0"/>
        <w:spacing w:line="579" w:lineRule="exact"/>
        <w:ind w:firstLine="640" w:firstLineChars="200"/>
        <w:jc w:val="left"/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hint="default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.《</w:t>
      </w:r>
      <w:r>
        <w:rPr>
          <w:rFonts w:hint="default" w:ascii="Times New Roman" w:hAnsi="Times New Roman" w:eastAsia="仿宋_GB2312" w:cs="Times New Roman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横琴粤澳深度合作区“澳琴人才卡”申请提交材料明细</w:t>
      </w:r>
      <w:r>
        <w:rPr>
          <w:rFonts w:hint="default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》</w:t>
      </w: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  <w:t>（附件</w:t>
      </w: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Times New Roman" w:hAnsi="Times New Roman" w:eastAsia="仿宋_GB2312" w:cs="Times New Roman"/>
          <w:color w:val="000000" w:themeColor="text1"/>
          <w:kern w:val="0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  <w:t>）</w:t>
      </w:r>
    </w:p>
    <w:p w14:paraId="0E5DE732">
      <w:pPr>
        <w:adjustRightInd w:val="0"/>
        <w:snapToGrid w:val="0"/>
        <w:spacing w:line="579" w:lineRule="exact"/>
        <w:ind w:firstLine="640" w:firstLineChars="200"/>
        <w:jc w:val="left"/>
        <w:rPr>
          <w:rFonts w:hint="default" w:ascii="Times New Roman" w:hAnsi="Times New Roman" w:eastAsia="楷体_GB2312" w:cs="Times New Roman"/>
          <w:color w:val="000000" w:themeColor="text1"/>
          <w:sz w:val="32"/>
          <w:szCs w:val="32"/>
          <w:highlight w:val="none"/>
          <w:lang w:val="zh-CN"/>
          <w14:textFill>
            <w14:solidFill>
              <w14:schemeClr w14:val="tx1"/>
            </w14:solidFill>
          </w14:textFill>
        </w:rPr>
      </w:pPr>
    </w:p>
    <w:p w14:paraId="1C20FE03">
      <w:pPr>
        <w:adjustRightInd w:val="0"/>
        <w:snapToGrid w:val="0"/>
        <w:spacing w:line="579" w:lineRule="exact"/>
        <w:ind w:firstLine="640" w:firstLineChars="200"/>
        <w:jc w:val="left"/>
        <w:rPr>
          <w:rFonts w:hint="default" w:ascii="Times New Roman" w:hAnsi="Times New Roman" w:eastAsia="楷体_GB2312" w:cs="Times New Roman"/>
          <w:color w:val="000000" w:themeColor="text1"/>
          <w:sz w:val="32"/>
          <w:szCs w:val="32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楷体_GB2312" w:cs="Times New Roman"/>
          <w:color w:val="000000" w:themeColor="text1"/>
          <w:sz w:val="32"/>
          <w:szCs w:val="32"/>
          <w:highlight w:val="none"/>
          <w:lang w:val="zh-CN"/>
          <w14:textFill>
            <w14:solidFill>
              <w14:schemeClr w14:val="tx1"/>
            </w14:solidFill>
          </w14:textFill>
        </w:rPr>
        <w:t>注：本申报指南由横琴</w:t>
      </w:r>
      <w:r>
        <w:rPr>
          <w:rFonts w:hint="default" w:ascii="Times New Roman" w:hAnsi="Times New Roman" w:eastAsia="楷体_GB2312" w:cs="Times New Roman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粤澳深度合作区</w:t>
      </w:r>
      <w:r>
        <w:rPr>
          <w:rFonts w:hint="eastAsia" w:ascii="Times New Roman" w:hAnsi="Times New Roman" w:eastAsia="楷体_GB2312" w:cs="Times New Roman"/>
          <w:color w:val="000000" w:themeColor="text1"/>
          <w:sz w:val="32"/>
          <w:szCs w:val="32"/>
          <w:highlight w:val="none"/>
          <w:lang w:eastAsia="zh-CN"/>
          <w14:textFill>
            <w14:solidFill>
              <w14:schemeClr w14:val="tx1"/>
            </w14:solidFill>
          </w14:textFill>
        </w:rPr>
        <w:t>人才发展和社会保障</w:t>
      </w:r>
      <w:r>
        <w:rPr>
          <w:rFonts w:hint="default" w:ascii="Times New Roman" w:hAnsi="Times New Roman" w:eastAsia="楷体_GB2312" w:cs="Times New Roman"/>
          <w:color w:val="000000" w:themeColor="text1"/>
          <w:sz w:val="32"/>
          <w:szCs w:val="32"/>
          <w:highlight w:val="none"/>
          <w14:textFill>
            <w14:solidFill>
              <w14:schemeClr w14:val="tx1"/>
            </w14:solidFill>
          </w14:textFill>
        </w:rPr>
        <w:t>局</w:t>
      </w:r>
      <w:r>
        <w:rPr>
          <w:rFonts w:hint="default" w:ascii="Times New Roman" w:hAnsi="Times New Roman" w:eastAsia="楷体_GB2312" w:cs="Times New Roman"/>
          <w:color w:val="000000" w:themeColor="text1"/>
          <w:sz w:val="32"/>
          <w:szCs w:val="32"/>
          <w:highlight w:val="none"/>
          <w:lang w:val="zh-CN"/>
          <w14:textFill>
            <w14:solidFill>
              <w14:schemeClr w14:val="tx1"/>
            </w14:solidFill>
          </w14:textFill>
        </w:rPr>
        <w:t>编制并解释。</w:t>
      </w:r>
    </w:p>
    <w:p w14:paraId="45B6D3C1">
      <w:pPr>
        <w:pStyle w:val="9"/>
        <w:numPr>
          <w:ilvl w:val="0"/>
          <w:numId w:val="0"/>
        </w:numPr>
        <w:ind w:firstLine="640" w:firstLineChars="200"/>
        <w:rPr>
          <w:rFonts w:hint="eastAsia"/>
          <w:sz w:val="32"/>
          <w:szCs w:val="32"/>
          <w:lang w:eastAsia="zh-CN"/>
        </w:rPr>
      </w:pPr>
    </w:p>
    <w:p w14:paraId="0CE3B08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</w:p>
    <w:p w14:paraId="2C8FA8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textAlignment w:val="auto"/>
        <w:rPr>
          <w:rFonts w:hint="eastAsia" w:ascii="黑体" w:hAnsi="黑体" w:eastAsia="黑体" w:cs="黑体"/>
          <w:sz w:val="32"/>
          <w:szCs w:val="32"/>
        </w:rPr>
      </w:pPr>
    </w:p>
    <w:sectPr>
      <w:footerReference r:id="rId3" w:type="default"/>
      <w:pgSz w:w="11906" w:h="16838"/>
      <w:pgMar w:top="2041" w:right="1531" w:bottom="2041" w:left="1531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D927D9D6-CC04-6CC9-825C-A26A64EAB45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9A049A02-BEC0-A363-825C-A26AB5199C0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2F6E1695-E06D-1865-825C-A26A36FB086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B2BA8B70-62FC-4C15-825C-A26AC6D0148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7CE45D32-E451-B242-825C-A26A910B01ED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B8362DC3-988E-D6D1-825C-A26AEF9C62A5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04032F5A-D1EA-F1DE-825C-A26A0B8E3F3A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613C7842-6492-AC97-825C-A26ABCEB5F8F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9" w:fontKey="{44C182AA-88F7-ACCC-825C-A26AACABF6C1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0" w:fontKey="{938A5769-0370-FA8F-825C-A26AC4497BDD}"/>
  </w:font>
  <w:font w:name="东文宋体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1" w:fontKey="{AB3D3FEF-A0C6-ABB4-825C-A26AF56A756E}"/>
  </w:font>
  <w:font w:name="微软雅黑">
    <w:altName w:val="黑体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389B5E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posOffset>2512695</wp:posOffset>
              </wp:positionH>
              <wp:positionV relativeFrom="paragraph">
                <wp:posOffset>-161925</wp:posOffset>
              </wp:positionV>
              <wp:extent cx="887730" cy="314325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87730" cy="3143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D2CF5CF">
                          <w:pPr>
                            <w:pStyle w:val="4"/>
                            <w:rPr>
                              <w:rFonts w:hint="eastAsia" w:ascii="仿宋_GB2312" w:hAnsi="仿宋_GB2312" w:eastAsia="仿宋_GB2312" w:cs="仿宋_GB2312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eastAsia" w:ascii="仿宋_GB2312" w:hAnsi="仿宋_GB2312" w:eastAsia="仿宋_GB2312" w:cs="仿宋_GB2312"/>
                              <w:sz w:val="32"/>
                              <w:szCs w:val="32"/>
                            </w:rPr>
                            <w:t xml:space="preserve">— </w:t>
                          </w:r>
                          <w:r>
                            <w:rPr>
                              <w:rFonts w:hint="default" w:ascii="Times New Roman" w:hAnsi="Times New Roman" w:eastAsia="仿宋_GB2312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仿宋_GB2312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仿宋_GB2312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仿宋_GB2312" w:cs="Times New Roman"/>
                              <w:sz w:val="32"/>
                              <w:szCs w:val="32"/>
                            </w:rPr>
                            <w:t>1</w:t>
                          </w:r>
                          <w:r>
                            <w:rPr>
                              <w:rFonts w:hint="default" w:ascii="Times New Roman" w:hAnsi="Times New Roman" w:eastAsia="仿宋_GB2312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  <w:r>
                            <w:rPr>
                              <w:rFonts w:hint="default" w:ascii="Times New Roman" w:hAnsi="Times New Roman" w:eastAsia="仿宋_GB2312" w:cs="Times New Roman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hint="eastAsia" w:ascii="仿宋_GB2312" w:hAnsi="仿宋_GB2312" w:eastAsia="仿宋_GB2312" w:cs="仿宋_GB2312"/>
                              <w:sz w:val="32"/>
                              <w:szCs w:val="32"/>
                            </w:rPr>
                            <w:t>—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upright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97.85pt;margin-top:-12.75pt;height:24.75pt;width:69.9pt;mso-position-horizontal-relative:margin;z-index:251659264;mso-width-relative:page;mso-height-relative:page;" filled="f" stroked="f" coordsize="21600,21600" o:gfxdata="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BvF2d2QAAAAoBAAAPAAAAAAAAAAEAIAAAACIAAABkcnMvZG93&#10;bnJldi54bWxQSwECFAAUAAAACACHTuJAcvV+HjgCAABhBAAADgAAAAAAAAABACAAAAAoAQAAZHJz&#10;L2Uyb0RvYy54bWxQSwUGAAAAAAYABgBZAQAA0gUAAAAA&#10;">
              <v:fill on="f" focussize="0,0"/>
              <v:stroke on="f" weight="0.5pt"/>
              <v:imagedata o:title=""/>
              <o:lock v:ext="edit" aspectratio="f"/>
              <v:textbox inset="0mm,0mm,0mm,0mm">
                <w:txbxContent>
                  <w:p w14:paraId="5D2CF5CF">
                    <w:pPr>
                      <w:pStyle w:val="4"/>
                      <w:rPr>
                        <w:rFonts w:hint="eastAsia" w:ascii="仿宋_GB2312" w:hAnsi="仿宋_GB2312" w:eastAsia="仿宋_GB2312" w:cs="仿宋_GB2312"/>
                        <w:sz w:val="32"/>
                        <w:szCs w:val="32"/>
                      </w:rPr>
                    </w:pPr>
                    <w:r>
                      <w:rPr>
                        <w:rFonts w:hint="eastAsia" w:ascii="仿宋_GB2312" w:hAnsi="仿宋_GB2312" w:eastAsia="仿宋_GB2312" w:cs="仿宋_GB2312"/>
                        <w:sz w:val="32"/>
                        <w:szCs w:val="32"/>
                      </w:rPr>
                      <w:t xml:space="preserve">— </w:t>
                    </w:r>
                    <w:r>
                      <w:rPr>
                        <w:rFonts w:hint="default" w:ascii="Times New Roman" w:hAnsi="Times New Roman" w:eastAsia="仿宋_GB2312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仿宋_GB2312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仿宋_GB2312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仿宋_GB2312" w:cs="Times New Roman"/>
                        <w:sz w:val="32"/>
                        <w:szCs w:val="32"/>
                      </w:rPr>
                      <w:t>1</w:t>
                    </w:r>
                    <w:r>
                      <w:rPr>
                        <w:rFonts w:hint="default" w:ascii="Times New Roman" w:hAnsi="Times New Roman" w:eastAsia="仿宋_GB2312" w:cs="Times New Roman"/>
                        <w:sz w:val="32"/>
                        <w:szCs w:val="32"/>
                      </w:rPr>
                      <w:fldChar w:fldCharType="end"/>
                    </w:r>
                    <w:r>
                      <w:rPr>
                        <w:rFonts w:hint="default" w:ascii="Times New Roman" w:hAnsi="Times New Roman" w:eastAsia="仿宋_GB2312" w:cs="Times New Roman"/>
                        <w:sz w:val="32"/>
                        <w:szCs w:val="32"/>
                      </w:rPr>
                      <w:t xml:space="preserve"> </w:t>
                    </w:r>
                    <w:r>
                      <w:rPr>
                        <w:rFonts w:hint="eastAsia" w:ascii="仿宋_GB2312" w:hAnsi="仿宋_GB2312" w:eastAsia="仿宋_GB2312" w:cs="仿宋_GB2312"/>
                        <w:sz w:val="32"/>
                        <w:szCs w:val="32"/>
                      </w:rPr>
                      <w:t>—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6FE862C"/>
    <w:multiLevelType w:val="singleLevel"/>
    <w:tmpl w:val="E6FE862C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FDFA8C55"/>
    <w:multiLevelType w:val="singleLevel"/>
    <w:tmpl w:val="FDFA8C55"/>
    <w:lvl w:ilvl="0" w:tentative="0">
      <w:start w:val="6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76B6D46B"/>
    <w:multiLevelType w:val="singleLevel"/>
    <w:tmpl w:val="76B6D46B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D2FED9"/>
    <w:rsid w:val="0E9252D0"/>
    <w:rsid w:val="17A78654"/>
    <w:rsid w:val="1FEFE2FE"/>
    <w:rsid w:val="285E0D94"/>
    <w:rsid w:val="287F5586"/>
    <w:rsid w:val="2A7B083B"/>
    <w:rsid w:val="2FFFF670"/>
    <w:rsid w:val="3E67D946"/>
    <w:rsid w:val="3EDDC2CF"/>
    <w:rsid w:val="3FB7E4F0"/>
    <w:rsid w:val="3FDFE279"/>
    <w:rsid w:val="43B715FC"/>
    <w:rsid w:val="43F5BA0D"/>
    <w:rsid w:val="478CBA9D"/>
    <w:rsid w:val="4FF5D036"/>
    <w:rsid w:val="59DF3D85"/>
    <w:rsid w:val="5FBFE7F7"/>
    <w:rsid w:val="5FDF2D24"/>
    <w:rsid w:val="63FF2E99"/>
    <w:rsid w:val="65B9FF0E"/>
    <w:rsid w:val="673CBC12"/>
    <w:rsid w:val="69604313"/>
    <w:rsid w:val="6BFF7957"/>
    <w:rsid w:val="6FC57225"/>
    <w:rsid w:val="6FD2FED9"/>
    <w:rsid w:val="73BF865B"/>
    <w:rsid w:val="73F82FCE"/>
    <w:rsid w:val="74BC1C2A"/>
    <w:rsid w:val="76CE6799"/>
    <w:rsid w:val="777FD6A6"/>
    <w:rsid w:val="77DF19ED"/>
    <w:rsid w:val="77F76891"/>
    <w:rsid w:val="78FE3407"/>
    <w:rsid w:val="7B1911FB"/>
    <w:rsid w:val="7BFD787D"/>
    <w:rsid w:val="7BFE01BB"/>
    <w:rsid w:val="7CE5D818"/>
    <w:rsid w:val="7DFF20A9"/>
    <w:rsid w:val="7E53183D"/>
    <w:rsid w:val="7EAFC4DF"/>
    <w:rsid w:val="7ECEB86B"/>
    <w:rsid w:val="7EE3814C"/>
    <w:rsid w:val="7EFE4239"/>
    <w:rsid w:val="7F6FA500"/>
    <w:rsid w:val="7FD6F23F"/>
    <w:rsid w:val="7FDB3016"/>
    <w:rsid w:val="7FEF3491"/>
    <w:rsid w:val="973B79D0"/>
    <w:rsid w:val="B3EC3A17"/>
    <w:rsid w:val="B772CFF1"/>
    <w:rsid w:val="B7FD0D78"/>
    <w:rsid w:val="CDFB09A5"/>
    <w:rsid w:val="CE3E1385"/>
    <w:rsid w:val="D7ADAAD7"/>
    <w:rsid w:val="D8BE19E5"/>
    <w:rsid w:val="DD716630"/>
    <w:rsid w:val="DFF7EA39"/>
    <w:rsid w:val="EBD18B54"/>
    <w:rsid w:val="EBFF75E5"/>
    <w:rsid w:val="ED4F0A12"/>
    <w:rsid w:val="EE59E9B4"/>
    <w:rsid w:val="EEF54505"/>
    <w:rsid w:val="EFBFA694"/>
    <w:rsid w:val="F27CB5C4"/>
    <w:rsid w:val="F3FD7A18"/>
    <w:rsid w:val="F5DE3774"/>
    <w:rsid w:val="F6FFBDD3"/>
    <w:rsid w:val="F7EE51C0"/>
    <w:rsid w:val="FB6FE454"/>
    <w:rsid w:val="FBBD8868"/>
    <w:rsid w:val="FBEF7E6F"/>
    <w:rsid w:val="FDD3966B"/>
    <w:rsid w:val="FEBC8278"/>
    <w:rsid w:val="FF2B5E06"/>
    <w:rsid w:val="FF4FCBBC"/>
    <w:rsid w:val="FFAF731F"/>
    <w:rsid w:val="FFBDA33B"/>
    <w:rsid w:val="FFBF511D"/>
    <w:rsid w:val="FFFF0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paragraph" w:styleId="3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Normal (Web)"/>
    <w:basedOn w:val="1"/>
    <w:qFormat/>
    <w:uiPriority w:val="0"/>
    <w:rPr>
      <w:sz w:val="24"/>
    </w:rPr>
  </w:style>
  <w:style w:type="paragraph" w:customStyle="1" w:styleId="9">
    <w:name w:val="样式1"/>
    <w:basedOn w:val="10"/>
    <w:qFormat/>
    <w:uiPriority w:val="0"/>
    <w:pPr>
      <w:spacing w:line="579" w:lineRule="exact"/>
      <w:ind w:firstLine="640" w:firstLineChars="200"/>
    </w:pPr>
    <w:rPr>
      <w:rFonts w:ascii="Calibri" w:cs="Times New Roman"/>
    </w:rPr>
  </w:style>
  <w:style w:type="paragraph" w:customStyle="1" w:styleId="10">
    <w:name w:val="正文1"/>
    <w:basedOn w:val="1"/>
    <w:qFormat/>
    <w:uiPriority w:val="0"/>
    <w:pPr>
      <w:ind w:firstLine="708" w:firstLineChars="236"/>
    </w:pPr>
    <w:rPr>
      <w:rFonts w:ascii="仿宋_GB2312" w:eastAsia="仿宋_GB2312" w:cs="仿宋_GB2312"/>
      <w:sz w:val="30"/>
      <w:szCs w:val="30"/>
    </w:rPr>
  </w:style>
  <w:style w:type="paragraph" w:customStyle="1" w:styleId="11">
    <w:name w:val="List Paragraph1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3053</Words>
  <Characters>3204</Characters>
  <Lines>0</Lines>
  <Paragraphs>0</Paragraphs>
  <TotalTime>16</TotalTime>
  <ScaleCrop>false</ScaleCrop>
  <LinksUpToDate>false</LinksUpToDate>
  <CharactersWithSpaces>3217</CharactersWithSpaces>
  <Application>WPS Office_12.1.0.17900_F1E327BC-269C-435d-A152-05C5408002CA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2026-05-18T08:47:00Z</dcterms:created>
  <dc:creator>任雪</dc:creator>
  <cp:lastModifiedBy>Anita 王祎玮</cp:lastModifiedBy>
  <dcterms:modified xsi:type="dcterms:W3CDTF">2026-09-10T15:30:10Z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2052-12.1.0.17900</vt:lpwstr>
  </property>
  <property fmtid="{D5CDD505-2E9C-101B-9397-08002B2CF9AE}" pid="3" name="ICV">
    <vt:lpwstr>19BAB68DD5E73C2FC6CBA06AA92139D3_43</vt:lpwstr>
  </property>
  <property fmtid="{D5CDD505-2E9C-101B-9397-08002B2CF9AE}" pid="4" name="KSOTemplateDocerSaveRecord">
    <vt:lpwstr>eyJoZGlkIjoiYzgyY2I5N2RhODJiMWExYjJiNTJhYTcwNGU0NmM0ZmQiLCJ1c2VySWQiOiIxODY4NjIzNyJ9</vt:lpwstr>
  </property>
</Properties>
</file>