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left="0" w:leftChars="0" w:firstLine="0" w:firstLineChars="0"/>
        <w:rPr>
          <w:rFonts w:hint="eastAsia" w:ascii="Times New Roman" w:hAnsi="Times New Roman" w:eastAsia="黑体" w:cs="黑体"/>
          <w:sz w:val="32"/>
          <w:szCs w:val="32"/>
          <w:lang w:val="en-US" w:eastAsia="zh-CN"/>
        </w:rPr>
      </w:pPr>
      <w:bookmarkStart w:id="0" w:name="_GoBack"/>
      <w:bookmarkEnd w:id="0"/>
      <w:r>
        <w:rPr>
          <w:rFonts w:hint="eastAsia" w:ascii="Times New Roman" w:hAnsi="Times New Roman" w:eastAsia="黑体" w:cs="黑体"/>
          <w:sz w:val="32"/>
          <w:szCs w:val="32"/>
          <w:lang w:val="en-US" w:eastAsia="zh-CN"/>
        </w:rPr>
        <w:t>附件</w:t>
      </w:r>
    </w:p>
    <w:p>
      <w:pPr>
        <w:numPr>
          <w:ilvl w:val="0"/>
          <w:numId w:val="0"/>
        </w:numPr>
        <w:ind w:left="0" w:leftChars="0" w:firstLine="0" w:firstLineChars="0"/>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电力安全事故等级划分标准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 w:hAnsi="仿宋" w:eastAsia="仿宋" w:cs="仿宋"/>
          <w:sz w:val="32"/>
          <w:szCs w:val="32"/>
          <w:lang w:val="en-US" w:eastAsia="zh-CN"/>
        </w:rPr>
      </w:pPr>
    </w:p>
    <w:tbl>
      <w:tblPr>
        <w:tblStyle w:val="7"/>
        <w:tblpPr w:leftFromText="180" w:rightFromText="180" w:vertAnchor="text" w:horzAnchor="page" w:tblpX="1552" w:tblpY="692"/>
        <w:tblOverlap w:val="never"/>
        <w:tblW w:w="8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1380"/>
        <w:gridCol w:w="1395"/>
        <w:gridCol w:w="1635"/>
        <w:gridCol w:w="169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0" w:hRule="atLeast"/>
          <w:tblHeader/>
        </w:trPr>
        <w:tc>
          <w:tcPr>
            <w:tcW w:w="1275" w:type="dxa"/>
          </w:tcPr>
          <w:p>
            <w:pPr>
              <w:pStyle w:val="3"/>
              <w:snapToGrid w:val="0"/>
              <w:spacing w:line="240" w:lineRule="auto"/>
              <w:rPr>
                <w:rFonts w:hint="eastAsia" w:ascii="Times New Roman" w:hAnsi="Times New Roman" w:eastAsia="黑体" w:cs="黑体"/>
                <w:sz w:val="28"/>
                <w:szCs w:val="28"/>
              </w:rPr>
            </w:pPr>
            <w:r>
              <w:rPr>
                <w:rFonts w:hint="eastAsia" w:ascii="Times New Roman" w:hAnsi="Times New Roman" w:eastAsia="黑体" w:cs="黑体"/>
                <w:sz w:val="28"/>
                <w:szCs w:val="28"/>
              </w:rPr>
              <mc:AlternateContent>
                <mc:Choice Requires="wps">
                  <w:drawing>
                    <wp:anchor distT="0" distB="0" distL="114300" distR="114300" simplePos="0" relativeHeight="251659264" behindDoc="0" locked="0" layoutInCell="1" allowOverlap="1">
                      <wp:simplePos x="0" y="0"/>
                      <wp:positionH relativeFrom="column">
                        <wp:posOffset>-155575</wp:posOffset>
                      </wp:positionH>
                      <wp:positionV relativeFrom="paragraph">
                        <wp:posOffset>601345</wp:posOffset>
                      </wp:positionV>
                      <wp:extent cx="1372870" cy="343535"/>
                      <wp:effectExtent l="514985" t="0" r="0" b="0"/>
                      <wp:wrapNone/>
                      <wp:docPr id="1" name="文本框 1"/>
                      <wp:cNvGraphicFramePr/>
                      <a:graphic xmlns:a="http://schemas.openxmlformats.org/drawingml/2006/main">
                        <a:graphicData uri="http://schemas.microsoft.com/office/word/2010/wordprocessingShape">
                          <wps:wsp>
                            <wps:cNvSpPr txBox="1"/>
                            <wps:spPr>
                              <a:xfrm rot="5400000" flipV="1">
                                <a:off x="0" y="0"/>
                                <a:ext cx="1372870" cy="343535"/>
                              </a:xfrm>
                              <a:prstGeom prst="rect">
                                <a:avLst/>
                              </a:prstGeom>
                              <a:noFill/>
                              <a:ln>
                                <a:noFill/>
                              </a:ln>
                              <a:effectLst/>
                            </wps:spPr>
                            <wps:txbx>
                              <w:txbxContent>
                                <w:p>
                                  <w:pPr>
                                    <w:rPr>
                                      <w:rFonts w:hint="eastAsia" w:ascii="黑体" w:hAnsi="黑体" w:eastAsia="黑体" w:cs="黑体"/>
                                      <w:sz w:val="28"/>
                                      <w:szCs w:val="28"/>
                                    </w:rPr>
                                  </w:pPr>
                                  <w:r>
                                    <w:rPr>
                                      <w:rFonts w:hint="eastAsia" w:ascii="黑体" w:hAnsi="黑体" w:eastAsia="黑体" w:cs="黑体"/>
                                      <w:sz w:val="28"/>
                                      <w:szCs w:val="28"/>
                                    </w:rPr>
                                    <w:t>判</w:t>
                                  </w:r>
                                </w:p>
                                <w:p>
                                  <w:pPr>
                                    <w:rPr>
                                      <w:rFonts w:hint="eastAsia" w:ascii="黑体" w:hAnsi="黑体" w:eastAsia="黑体" w:cs="黑体"/>
                                      <w:sz w:val="28"/>
                                      <w:szCs w:val="28"/>
                                    </w:rPr>
                                  </w:pPr>
                                  <w:r>
                                    <w:rPr>
                                      <w:rFonts w:hint="eastAsia" w:ascii="黑体" w:hAnsi="黑体" w:eastAsia="黑体" w:cs="黑体"/>
                                      <w:sz w:val="28"/>
                                      <w:szCs w:val="28"/>
                                    </w:rPr>
                                    <w:t>定</w:t>
                                  </w:r>
                                </w:p>
                                <w:p>
                                  <w:pPr>
                                    <w:rPr>
                                      <w:rFonts w:hint="eastAsia" w:ascii="黑体" w:hAnsi="黑体" w:eastAsia="黑体" w:cs="黑体"/>
                                      <w:sz w:val="28"/>
                                      <w:szCs w:val="28"/>
                                    </w:rPr>
                                  </w:pPr>
                                  <w:r>
                                    <w:rPr>
                                      <w:rFonts w:hint="eastAsia" w:ascii="黑体" w:hAnsi="黑体" w:eastAsia="黑体" w:cs="黑体"/>
                                      <w:sz w:val="28"/>
                                      <w:szCs w:val="28"/>
                                    </w:rPr>
                                    <w:t>项</w:t>
                                  </w:r>
                                </w:p>
                              </w:txbxContent>
                            </wps:txbx>
                            <wps:bodyPr lIns="0" tIns="0" rIns="0" bIns="0" upright="1"/>
                          </wps:wsp>
                        </a:graphicData>
                      </a:graphic>
                    </wp:anchor>
                  </w:drawing>
                </mc:Choice>
                <mc:Fallback>
                  <w:pict>
                    <v:shape id="_x0000_s1026" o:spid="_x0000_s1026" o:spt="202" type="#_x0000_t202" style="position:absolute;left:0pt;flip:y;margin-left:-12.25pt;margin-top:47.35pt;height:27.05pt;width:108.1pt;rotation:-5898240f;z-index:251659264;mso-width-relative:page;mso-height-relative:page;" filled="f" stroked="f" coordsize="21600,21600" o:gfxdata="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oDdnJ2gAAAAoBAAAPAAAAAAAAAAEAIAAAACIA&#10;AABkcnMvZG93bnJldi54bWxQSwECFAAUAAAACACHTuJAe687As4BAACYAwAADgAAAAAAAAABACAA&#10;AAApAQAAZHJzL2Uyb0RvYy54bWxQSwUGAAAAAAYABgBZAQAAaQUAAAAA&#10;">
                      <v:fill on="f" focussize="0,0"/>
                      <v:stroke on="f"/>
                      <v:imagedata o:title=""/>
                      <o:lock v:ext="edit" aspectratio="f"/>
                      <v:textbox inset="0mm,0mm,0mm,0mm">
                        <w:txbxContent>
                          <w:p>
                            <w:pPr>
                              <w:rPr>
                                <w:rFonts w:hint="eastAsia" w:ascii="黑体" w:hAnsi="黑体" w:eastAsia="黑体" w:cs="黑体"/>
                                <w:sz w:val="28"/>
                                <w:szCs w:val="28"/>
                              </w:rPr>
                            </w:pPr>
                            <w:r>
                              <w:rPr>
                                <w:rFonts w:hint="eastAsia" w:ascii="黑体" w:hAnsi="黑体" w:eastAsia="黑体" w:cs="黑体"/>
                                <w:sz w:val="28"/>
                                <w:szCs w:val="28"/>
                              </w:rPr>
                              <w:t>判</w:t>
                            </w:r>
                          </w:p>
                          <w:p>
                            <w:pPr>
                              <w:rPr>
                                <w:rFonts w:hint="eastAsia" w:ascii="黑体" w:hAnsi="黑体" w:eastAsia="黑体" w:cs="黑体"/>
                                <w:sz w:val="28"/>
                                <w:szCs w:val="28"/>
                              </w:rPr>
                            </w:pPr>
                            <w:r>
                              <w:rPr>
                                <w:rFonts w:hint="eastAsia" w:ascii="黑体" w:hAnsi="黑体" w:eastAsia="黑体" w:cs="黑体"/>
                                <w:sz w:val="28"/>
                                <w:szCs w:val="28"/>
                              </w:rPr>
                              <w:t>定</w:t>
                            </w:r>
                          </w:p>
                          <w:p>
                            <w:pPr>
                              <w:rPr>
                                <w:rFonts w:hint="eastAsia" w:ascii="黑体" w:hAnsi="黑体" w:eastAsia="黑体" w:cs="黑体"/>
                                <w:sz w:val="28"/>
                                <w:szCs w:val="28"/>
                              </w:rPr>
                            </w:pPr>
                            <w:r>
                              <w:rPr>
                                <w:rFonts w:hint="eastAsia" w:ascii="黑体" w:hAnsi="黑体" w:eastAsia="黑体" w:cs="黑体"/>
                                <w:sz w:val="28"/>
                                <w:szCs w:val="28"/>
                              </w:rPr>
                              <w:t>项</w:t>
                            </w:r>
                          </w:p>
                        </w:txbxContent>
                      </v:textbox>
                    </v:shape>
                  </w:pict>
                </mc:Fallback>
              </mc:AlternateContent>
            </w:r>
            <w:r>
              <w:rPr>
                <w:rFonts w:hint="eastAsia" w:ascii="Times New Roman" w:hAnsi="Times New Roman" w:eastAsia="黑体" w:cs="黑体"/>
                <w:sz w:val="28"/>
                <w:szCs w:val="28"/>
              </w:rPr>
              <mc:AlternateContent>
                <mc:Choice Requires="wps">
                  <w:drawing>
                    <wp:anchor distT="0" distB="0" distL="114300" distR="114300" simplePos="0" relativeHeight="251661312" behindDoc="0" locked="0" layoutInCell="1" allowOverlap="1">
                      <wp:simplePos x="0" y="0"/>
                      <wp:positionH relativeFrom="column">
                        <wp:posOffset>-35560</wp:posOffset>
                      </wp:positionH>
                      <wp:positionV relativeFrom="paragraph">
                        <wp:posOffset>10795</wp:posOffset>
                      </wp:positionV>
                      <wp:extent cx="776605" cy="2515235"/>
                      <wp:effectExtent l="4445" t="1270" r="19050" b="17145"/>
                      <wp:wrapNone/>
                      <wp:docPr id="4" name="直接连接符 4"/>
                      <wp:cNvGraphicFramePr/>
                      <a:graphic xmlns:a="http://schemas.openxmlformats.org/drawingml/2006/main">
                        <a:graphicData uri="http://schemas.microsoft.com/office/word/2010/wordprocessingShape">
                          <wps:wsp>
                            <wps:cNvCnPr/>
                            <wps:spPr>
                              <a:xfrm flipH="1" flipV="1">
                                <a:off x="0" y="0"/>
                                <a:ext cx="776605" cy="2515235"/>
                              </a:xfrm>
                              <a:prstGeom prst="line">
                                <a:avLst/>
                              </a:prstGeom>
                              <a:ln w="6350" cap="flat" cmpd="sng">
                                <a:solidFill>
                                  <a:srgbClr val="000000"/>
                                </a:solidFill>
                                <a:prstDash val="solid"/>
                                <a:miter lim="800000"/>
                                <a:headEnd type="none" w="med" len="med"/>
                                <a:tailEnd type="none" w="med" len="med"/>
                              </a:ln>
                            </wps:spPr>
                            <wps:bodyPr upright="1"/>
                          </wps:wsp>
                        </a:graphicData>
                      </a:graphic>
                    </wp:anchor>
                  </w:drawing>
                </mc:Choice>
                <mc:Fallback>
                  <w:pict>
                    <v:line id="_x0000_s1026" o:spid="_x0000_s1026" o:spt="20" style="position:absolute;left:0pt;flip:x y;margin-left:-2.8pt;margin-top:0.85pt;height:198.05pt;width:61.15pt;z-index:251661312;mso-width-relative:page;mso-height-relative:page;" filled="f" stroked="t" coordsize="21600,21600" o:gfxdata="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28kZfYAAAACAEAAA8AAAAAAAAA&#10;AQAgAAAAIgAAAGRycy9kb3ducmV2LnhtbFBLAQIUABQAAAAIAIdO4kCVOUMGEQIAABQEAAAOAAAA&#10;AAAAAAEAIAAAACcBAABkcnMvZTJvRG9jLnhtbFBLBQYAAAAABgAGAFkBAACqBQAAAAA=&#10;">
                      <v:fill on="f" focussize="0,0"/>
                      <v:stroke weight="0.5pt" color="#000000" miterlimit="8" joinstyle="miter"/>
                      <v:imagedata o:title=""/>
                      <o:lock v:ext="edit" aspectratio="f"/>
                    </v:line>
                  </w:pict>
                </mc:Fallback>
              </mc:AlternateContent>
            </w:r>
          </w:p>
          <w:p>
            <w:pPr>
              <w:pStyle w:val="3"/>
              <w:rPr>
                <w:rFonts w:hint="eastAsia" w:ascii="Times New Roman" w:hAnsi="Times New Roman" w:eastAsia="黑体" w:cs="黑体"/>
                <w:sz w:val="28"/>
                <w:szCs w:val="28"/>
              </w:rPr>
            </w:pPr>
            <w:r>
              <w:rPr>
                <w:rFonts w:hint="eastAsia" w:ascii="Times New Roman" w:hAnsi="Times New Roman" w:eastAsia="黑体" w:cs="黑体"/>
                <w:sz w:val="28"/>
                <w:szCs w:val="28"/>
              </w:rPr>
              <mc:AlternateContent>
                <mc:Choice Requires="wps">
                  <w:drawing>
                    <wp:anchor distT="0" distB="0" distL="114300" distR="114300" simplePos="0" relativeHeight="251660288" behindDoc="0" locked="0" layoutInCell="1" allowOverlap="1">
                      <wp:simplePos x="0" y="0"/>
                      <wp:positionH relativeFrom="column">
                        <wp:posOffset>-823595</wp:posOffset>
                      </wp:positionH>
                      <wp:positionV relativeFrom="paragraph">
                        <wp:posOffset>1633220</wp:posOffset>
                      </wp:positionV>
                      <wp:extent cx="1819275" cy="243840"/>
                      <wp:effectExtent l="788035" t="0" r="0" b="0"/>
                      <wp:wrapNone/>
                      <wp:docPr id="3" name="文本框 3"/>
                      <wp:cNvGraphicFramePr/>
                      <a:graphic xmlns:a="http://schemas.openxmlformats.org/drawingml/2006/main">
                        <a:graphicData uri="http://schemas.microsoft.com/office/word/2010/wordprocessingShape">
                          <wps:wsp>
                            <wps:cNvSpPr txBox="1"/>
                            <wps:spPr>
                              <a:xfrm rot="5400000" flipV="1">
                                <a:off x="0" y="0"/>
                                <a:ext cx="1819275" cy="243840"/>
                              </a:xfrm>
                              <a:prstGeom prst="rect">
                                <a:avLst/>
                              </a:prstGeom>
                              <a:noFill/>
                              <a:ln>
                                <a:noFill/>
                              </a:ln>
                              <a:effectLst/>
                            </wps:spPr>
                            <wps:txbx>
                              <w:txbxContent>
                                <w:p>
                                  <w:pPr>
                                    <w:pStyle w:val="3"/>
                                    <w:rPr>
                                      <w:rFonts w:ascii="Times New Roman" w:hAnsi="Times New Roman" w:eastAsia="黑体" w:cs="Times New Roman"/>
                                      <w:sz w:val="28"/>
                                      <w:szCs w:val="28"/>
                                    </w:rPr>
                                  </w:pPr>
                                  <w:r>
                                    <w:rPr>
                                      <w:rFonts w:ascii="Times New Roman" w:hAnsi="Times New Roman" w:eastAsia="黑体" w:cs="Times New Roman"/>
                                      <w:sz w:val="28"/>
                                      <w:szCs w:val="28"/>
                                    </w:rPr>
                                    <w:t>事</w:t>
                                  </w:r>
                                </w:p>
                                <w:p>
                                  <w:pPr>
                                    <w:pStyle w:val="3"/>
                                    <w:rPr>
                                      <w:rFonts w:ascii="Times New Roman" w:hAnsi="Times New Roman" w:eastAsia="黑体" w:cs="Times New Roman"/>
                                      <w:sz w:val="28"/>
                                      <w:szCs w:val="28"/>
                                    </w:rPr>
                                  </w:pPr>
                                  <w:r>
                                    <w:rPr>
                                      <w:rFonts w:ascii="Times New Roman" w:hAnsi="Times New Roman" w:eastAsia="黑体" w:cs="Times New Roman"/>
                                      <w:sz w:val="28"/>
                                      <w:szCs w:val="28"/>
                                    </w:rPr>
                                    <w:t>故</w:t>
                                  </w:r>
                                </w:p>
                                <w:p>
                                  <w:pPr>
                                    <w:pStyle w:val="3"/>
                                    <w:rPr>
                                      <w:rFonts w:ascii="Times New Roman" w:hAnsi="Times New Roman" w:eastAsia="黑体" w:cs="Times New Roman"/>
                                      <w:sz w:val="28"/>
                                      <w:szCs w:val="28"/>
                                    </w:rPr>
                                  </w:pPr>
                                  <w:r>
                                    <w:rPr>
                                      <w:rFonts w:ascii="Times New Roman" w:hAnsi="Times New Roman" w:eastAsia="黑体" w:cs="Times New Roman"/>
                                      <w:sz w:val="28"/>
                                      <w:szCs w:val="28"/>
                                    </w:rPr>
                                    <w:t>等</w:t>
                                  </w:r>
                                </w:p>
                                <w:p>
                                  <w:pPr>
                                    <w:pStyle w:val="3"/>
                                    <w:rPr>
                                      <w:rFonts w:ascii="Times New Roman" w:hAnsi="Times New Roman" w:eastAsia="黑体" w:cs="Times New Roman"/>
                                      <w:sz w:val="28"/>
                                      <w:szCs w:val="28"/>
                                    </w:rPr>
                                  </w:pPr>
                                  <w:r>
                                    <w:rPr>
                                      <w:rFonts w:ascii="Times New Roman" w:hAnsi="Times New Roman" w:eastAsia="黑体" w:cs="Times New Roman"/>
                                      <w:sz w:val="28"/>
                                      <w:szCs w:val="28"/>
                                    </w:rPr>
                                    <w:t>级</w:t>
                                  </w:r>
                                </w:p>
                                <w:p/>
                              </w:txbxContent>
                            </wps:txbx>
                            <wps:bodyPr lIns="0" tIns="0" rIns="0" bIns="0" upright="1"/>
                          </wps:wsp>
                        </a:graphicData>
                      </a:graphic>
                    </wp:anchor>
                  </w:drawing>
                </mc:Choice>
                <mc:Fallback>
                  <w:pict>
                    <v:shape id="_x0000_s1026" o:spid="_x0000_s1026" o:spt="202" type="#_x0000_t202" style="position:absolute;left:0pt;flip:y;margin-left:-64.85pt;margin-top:128.6pt;height:19.2pt;width:143.25pt;rotation:-5898240f;z-index:251660288;mso-width-relative:page;mso-height-relative:page;" filled="f" stroked="f" coordsize="21600,21600" o:gfxdata="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Qhyfy3AAAAAwBAAAPAAAAAAAAAAEAIAAA&#10;ACIAAABkcnMvZG93bnJldi54bWxQSwECFAAUAAAACACHTuJAKQB7kc8BAACYAwAADgAAAAAAAAAB&#10;ACAAAAArAQAAZHJzL2Uyb0RvYy54bWxQSwUGAAAAAAYABgBZAQAAbAUAAAAA&#10;">
                      <v:fill on="f" focussize="0,0"/>
                      <v:stroke on="f"/>
                      <v:imagedata o:title=""/>
                      <o:lock v:ext="edit" aspectratio="f"/>
                      <v:textbox inset="0mm,0mm,0mm,0mm">
                        <w:txbxContent>
                          <w:p>
                            <w:pPr>
                              <w:pStyle w:val="3"/>
                              <w:rPr>
                                <w:rFonts w:ascii="Times New Roman" w:hAnsi="Times New Roman" w:eastAsia="黑体" w:cs="Times New Roman"/>
                                <w:sz w:val="28"/>
                                <w:szCs w:val="28"/>
                              </w:rPr>
                            </w:pPr>
                            <w:r>
                              <w:rPr>
                                <w:rFonts w:ascii="Times New Roman" w:hAnsi="Times New Roman" w:eastAsia="黑体" w:cs="Times New Roman"/>
                                <w:sz w:val="28"/>
                                <w:szCs w:val="28"/>
                              </w:rPr>
                              <w:t>事</w:t>
                            </w:r>
                          </w:p>
                          <w:p>
                            <w:pPr>
                              <w:pStyle w:val="3"/>
                              <w:rPr>
                                <w:rFonts w:ascii="Times New Roman" w:hAnsi="Times New Roman" w:eastAsia="黑体" w:cs="Times New Roman"/>
                                <w:sz w:val="28"/>
                                <w:szCs w:val="28"/>
                              </w:rPr>
                            </w:pPr>
                            <w:r>
                              <w:rPr>
                                <w:rFonts w:ascii="Times New Roman" w:hAnsi="Times New Roman" w:eastAsia="黑体" w:cs="Times New Roman"/>
                                <w:sz w:val="28"/>
                                <w:szCs w:val="28"/>
                              </w:rPr>
                              <w:t>故</w:t>
                            </w:r>
                          </w:p>
                          <w:p>
                            <w:pPr>
                              <w:pStyle w:val="3"/>
                              <w:rPr>
                                <w:rFonts w:ascii="Times New Roman" w:hAnsi="Times New Roman" w:eastAsia="黑体" w:cs="Times New Roman"/>
                                <w:sz w:val="28"/>
                                <w:szCs w:val="28"/>
                              </w:rPr>
                            </w:pPr>
                            <w:r>
                              <w:rPr>
                                <w:rFonts w:ascii="Times New Roman" w:hAnsi="Times New Roman" w:eastAsia="黑体" w:cs="Times New Roman"/>
                                <w:sz w:val="28"/>
                                <w:szCs w:val="28"/>
                              </w:rPr>
                              <w:t>等</w:t>
                            </w:r>
                          </w:p>
                          <w:p>
                            <w:pPr>
                              <w:pStyle w:val="3"/>
                              <w:rPr>
                                <w:rFonts w:ascii="Times New Roman" w:hAnsi="Times New Roman" w:eastAsia="黑体" w:cs="Times New Roman"/>
                                <w:sz w:val="28"/>
                                <w:szCs w:val="28"/>
                              </w:rPr>
                            </w:pPr>
                            <w:r>
                              <w:rPr>
                                <w:rFonts w:ascii="Times New Roman" w:hAnsi="Times New Roman" w:eastAsia="黑体" w:cs="Times New Roman"/>
                                <w:sz w:val="28"/>
                                <w:szCs w:val="28"/>
                              </w:rPr>
                              <w:t>级</w:t>
                            </w:r>
                          </w:p>
                          <w:p/>
                        </w:txbxContent>
                      </v:textbox>
                    </v:shape>
                  </w:pict>
                </mc:Fallback>
              </mc:AlternateContent>
            </w:r>
          </w:p>
        </w:tc>
        <w:tc>
          <w:tcPr>
            <w:tcW w:w="1380" w:type="dxa"/>
            <w:vAlign w:val="center"/>
          </w:tcPr>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造成电网减供负荷的比例</w:t>
            </w:r>
          </w:p>
        </w:tc>
        <w:tc>
          <w:tcPr>
            <w:tcW w:w="1395" w:type="dxa"/>
            <w:vAlign w:val="center"/>
          </w:tcPr>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造成供电用户停电的比例</w:t>
            </w:r>
          </w:p>
        </w:tc>
        <w:tc>
          <w:tcPr>
            <w:tcW w:w="1635" w:type="dxa"/>
            <w:vAlign w:val="center"/>
          </w:tcPr>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发电厂或者变电站因安全故障造成的影响和持续时间</w:t>
            </w:r>
          </w:p>
        </w:tc>
        <w:tc>
          <w:tcPr>
            <w:tcW w:w="1695" w:type="dxa"/>
            <w:vAlign w:val="center"/>
          </w:tcPr>
          <w:p>
            <w:pPr>
              <w:pStyle w:val="3"/>
              <w:jc w:val="center"/>
              <w:rPr>
                <w:rFonts w:hint="eastAsia" w:ascii="Times New Roman" w:hAnsi="Times New Roman" w:eastAsia="黑体" w:cs="黑体"/>
                <w:sz w:val="28"/>
                <w:szCs w:val="28"/>
                <w:lang w:val="en-US" w:eastAsia="zh-CN"/>
              </w:rPr>
            </w:pPr>
            <w:r>
              <w:rPr>
                <w:rFonts w:hint="eastAsia" w:ascii="Times New Roman" w:hAnsi="Times New Roman" w:eastAsia="黑体" w:cs="黑体"/>
                <w:sz w:val="28"/>
                <w:szCs w:val="28"/>
                <w:lang w:val="en-US" w:eastAsia="zh-CN"/>
              </w:rPr>
              <w:t>发电设备减少出力导致电力系统备用容量下降的后果</w:t>
            </w:r>
          </w:p>
        </w:tc>
        <w:tc>
          <w:tcPr>
            <w:tcW w:w="1575" w:type="dxa"/>
            <w:vAlign w:val="center"/>
          </w:tcPr>
          <w:p>
            <w:pPr>
              <w:pStyle w:val="3"/>
              <w:jc w:val="center"/>
              <w:rPr>
                <w:rFonts w:hint="eastAsia" w:ascii="Times New Roman" w:hAnsi="Times New Roman" w:eastAsia="黑体" w:cs="黑体"/>
                <w:sz w:val="28"/>
                <w:szCs w:val="28"/>
                <w:lang w:val="en-US" w:eastAsia="zh-CN"/>
              </w:rPr>
            </w:pPr>
            <w:r>
              <w:rPr>
                <w:rFonts w:hint="eastAsia" w:ascii="Times New Roman" w:hAnsi="Times New Roman" w:eastAsia="黑体" w:cs="黑体"/>
                <w:sz w:val="28"/>
                <w:szCs w:val="28"/>
                <w:lang w:val="en-US" w:eastAsia="zh-CN"/>
              </w:rPr>
              <w:t>发电设备因安全故障停运的时间和后果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75" w:type="dxa"/>
            <w:vAlign w:val="center"/>
          </w:tcPr>
          <w:p>
            <w:pPr>
              <w:pStyle w:val="3"/>
              <w:jc w:val="center"/>
              <w:rPr>
                <w:rFonts w:hint="eastAsia" w:ascii="Times New Roman" w:hAnsi="Times New Roman" w:eastAsia="黑体" w:cs="黑体"/>
                <w:sz w:val="28"/>
                <w:szCs w:val="28"/>
                <w:lang w:eastAsia="zh-CN"/>
              </w:rPr>
            </w:pPr>
            <w:r>
              <w:rPr>
                <w:rFonts w:hint="eastAsia" w:ascii="Times New Roman" w:hAnsi="Times New Roman" w:eastAsia="黑体" w:cs="黑体"/>
                <w:sz w:val="28"/>
                <w:szCs w:val="28"/>
                <w:lang w:eastAsia="zh-CN"/>
              </w:rPr>
              <w:t>特</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别</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重</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大</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事</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故</w:t>
            </w:r>
          </w:p>
        </w:tc>
        <w:tc>
          <w:tcPr>
            <w:tcW w:w="1380"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区域性电网，减供负荷30%以上</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lang w:eastAsia="zh-CN"/>
              </w:rPr>
              <w:t>省、自治区电网，负荷50000兆瓦以上的，减供负荷30%以上；负荷11000兆瓦以上50000兆瓦以下的，减供负荷40%以</w:t>
            </w:r>
            <w:r>
              <w:rPr>
                <w:rFonts w:hint="eastAsia" w:ascii="Times New Roman" w:hAnsi="Times New Roman" w:eastAsia="仿宋" w:cs="仿宋"/>
                <w:sz w:val="28"/>
                <w:szCs w:val="28"/>
                <w:lang w:val="en-US" w:eastAsia="zh-CN"/>
              </w:rPr>
              <w:t>上</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直辖市电网，减供负荷50%以上</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省、自治区人民政府所在地城市电网，负荷4500兆瓦以上的，减供负荷60%以上</w:t>
            </w:r>
          </w:p>
        </w:tc>
        <w:tc>
          <w:tcPr>
            <w:tcW w:w="139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直辖市电网，60%以上供电用户停电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省、自治区人民政府所在地城市电网，负荷4500兆瓦以上的，70%以上供电用户停电</w:t>
            </w:r>
          </w:p>
        </w:tc>
        <w:tc>
          <w:tcPr>
            <w:tcW w:w="163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p>
        </w:tc>
        <w:tc>
          <w:tcPr>
            <w:tcW w:w="169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p>
        </w:tc>
        <w:tc>
          <w:tcPr>
            <w:tcW w:w="1575" w:type="dxa"/>
          </w:tcPr>
          <w:p>
            <w:pPr>
              <w:pStyle w:val="3"/>
              <w:rPr>
                <w:rFonts w:hint="eastAsia" w:ascii="Times New Roman" w:hAnsi="Times New Roman"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0" w:hRule="atLeast"/>
        </w:trPr>
        <w:tc>
          <w:tcPr>
            <w:tcW w:w="1275" w:type="dxa"/>
            <w:vAlign w:val="center"/>
          </w:tcPr>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重</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大</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事</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故</w:t>
            </w:r>
          </w:p>
        </w:tc>
        <w:tc>
          <w:tcPr>
            <w:tcW w:w="1380"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区域性电网，减供负荷10%以上30%以下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省、自治区电网，负荷50000兆瓦以上的，减供负荷13%以上30%以下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负荷11000兆瓦以上50000兆瓦以下的，减供负荷16%以上40%以下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负荷5000兆瓦以上11000兆瓦以下的，减供负荷50%以上</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rPr>
              <w:t>直辖市电网，减供负荷20%以上50%以</w:t>
            </w:r>
            <w:r>
              <w:rPr>
                <w:rFonts w:hint="eastAsia" w:ascii="Times New Roman" w:hAnsi="Times New Roman" w:eastAsia="仿宋" w:cs="仿宋"/>
                <w:sz w:val="28"/>
                <w:szCs w:val="28"/>
                <w:lang w:val="en-US" w:eastAsia="zh-CN"/>
              </w:rPr>
              <w:t>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省、自治区人民政府所在地城市电网，负荷4500兆瓦以上的，减供负荷40%以上60%以下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负荷4500兆瓦以下的，减供负荷40%以上</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其他设区的市级行政区域电网，负荷1300兆瓦以上的，减供负荷60%以上</w:t>
            </w:r>
          </w:p>
        </w:tc>
        <w:tc>
          <w:tcPr>
            <w:tcW w:w="139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直辖市电网，30%以上60%以下供电用户停电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省、自治区人民政府所在地城市电网，负荷4500兆瓦以上的，50%以上70%以下供电用户停电</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负荷4500兆瓦以下的，50%以上供电用户停电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其他设区的市级行政区域电网，负荷1300兆瓦以上的，70%以上供电用户停电</w:t>
            </w:r>
          </w:p>
        </w:tc>
        <w:tc>
          <w:tcPr>
            <w:tcW w:w="163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p>
        </w:tc>
        <w:tc>
          <w:tcPr>
            <w:tcW w:w="169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p>
        </w:tc>
        <w:tc>
          <w:tcPr>
            <w:tcW w:w="1575" w:type="dxa"/>
          </w:tcPr>
          <w:p>
            <w:pPr>
              <w:pStyle w:val="3"/>
              <w:rPr>
                <w:rFonts w:hint="eastAsia" w:ascii="Times New Roman" w:hAnsi="Times New Roman"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8" w:hRule="atLeast"/>
        </w:trPr>
        <w:tc>
          <w:tcPr>
            <w:tcW w:w="1275" w:type="dxa"/>
            <w:vAlign w:val="center"/>
          </w:tcPr>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较</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大</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事</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故</w:t>
            </w:r>
          </w:p>
        </w:tc>
        <w:tc>
          <w:tcPr>
            <w:tcW w:w="1380"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lang w:val="en-US" w:eastAsia="zh-CN"/>
              </w:rPr>
              <w:t>区域性电网，减供负荷</w:t>
            </w:r>
            <w:r>
              <w:rPr>
                <w:rFonts w:hint="eastAsia" w:ascii="Times New Roman" w:hAnsi="Times New Roman" w:eastAsia="仿宋" w:cs="仿宋"/>
                <w:sz w:val="28"/>
                <w:szCs w:val="28"/>
              </w:rPr>
              <w:t>7%以上10%以下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省、自治区电网，负荷50000兆瓦以上的，减供负荷10%以上13%以下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负荷11000兆瓦以上50000兆瓦以下的，减供负荷12%以上16%以下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负荷5000兆瓦以上11000兆瓦以下的，减供负荷20%以上50%以下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负荷5000兆瓦以下的，减供负荷40%以上</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直辖市电网，减供负荷10%以上20%以下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省、自治区人民政府所在地城市电网，减供负荷20%以上40%以下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其他设区的市级行政区域电网，负荷1300兆瓦以上的，减供负荷40%以上60%以下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负荷1300兆瓦以下的，减供负荷40%以上</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县级市电网，负荷220兆瓦以上的，减供负荷60%以上</w:t>
            </w:r>
          </w:p>
        </w:tc>
        <w:tc>
          <w:tcPr>
            <w:tcW w:w="139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直辖市电网，15%以上30%以下供电用户停电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省、自治区人民政府所在地城市电网，30%以上50%以下供电用户停电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其他设区的市级行政区域电网，负荷1300兆瓦以上的，50%以上70%以下供电用户停电</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负荷1300兆瓦以下的，50%以上供电用户停电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县级市电网，负荷220兆瓦以上的，70%以上供电用户停电</w:t>
            </w:r>
          </w:p>
        </w:tc>
        <w:tc>
          <w:tcPr>
            <w:tcW w:w="163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p>
        </w:tc>
        <w:tc>
          <w:tcPr>
            <w:tcW w:w="1695"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发电设备涉网性能不符合技术要求，造成</w:t>
            </w:r>
            <w:r>
              <w:rPr>
                <w:rFonts w:hint="eastAsia" w:ascii="Times New Roman" w:hAnsi="Times New Roman" w:eastAsia="仿宋" w:cs="仿宋"/>
                <w:sz w:val="28"/>
                <w:szCs w:val="28"/>
                <w:lang w:val="en-US" w:eastAsia="zh-CN"/>
              </w:rPr>
              <w:t>省、自治区、直辖市</w:t>
            </w:r>
            <w:r>
              <w:rPr>
                <w:rFonts w:hint="eastAsia" w:ascii="Times New Roman" w:hAnsi="Times New Roman" w:eastAsia="仿宋" w:cs="仿宋"/>
                <w:sz w:val="28"/>
                <w:szCs w:val="28"/>
              </w:rPr>
              <w:t>电</w:t>
            </w:r>
            <w:r>
              <w:rPr>
                <w:rFonts w:hint="eastAsia" w:ascii="Times New Roman" w:hAnsi="Times New Roman" w:eastAsia="仿宋" w:cs="仿宋"/>
                <w:sz w:val="28"/>
                <w:szCs w:val="28"/>
                <w:lang w:val="en-US" w:eastAsia="zh-CN"/>
              </w:rPr>
              <w:t>网，负荷</w:t>
            </w:r>
            <w:r>
              <w:rPr>
                <w:rFonts w:hint="eastAsia" w:ascii="Times New Roman" w:hAnsi="Times New Roman" w:eastAsia="仿宋" w:cs="仿宋"/>
                <w:sz w:val="28"/>
                <w:szCs w:val="28"/>
              </w:rPr>
              <w:t>50000兆瓦以上的，减少出力达到电网负荷10%以上</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负荷11000兆瓦以上50000兆瓦以下的，减少出力达</w:t>
            </w:r>
            <w:r>
              <w:rPr>
                <w:rFonts w:hint="eastAsia" w:ascii="Times New Roman" w:hAnsi="Times New Roman" w:eastAsia="仿宋" w:cs="仿宋"/>
                <w:sz w:val="28"/>
                <w:szCs w:val="28"/>
                <w:lang w:val="en-US" w:eastAsia="zh-CN"/>
              </w:rPr>
              <w:t>到电网负荷11%以上；负荷</w:t>
            </w:r>
            <w:r>
              <w:rPr>
                <w:rFonts w:hint="eastAsia" w:ascii="Times New Roman" w:hAnsi="Times New Roman" w:eastAsia="仿宋" w:cs="仿宋"/>
                <w:sz w:val="28"/>
                <w:szCs w:val="28"/>
              </w:rPr>
              <w:t>5000兆瓦以上11000兆瓦以下的，减少出力达到电网负荷15%以上</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负荷5000兆瓦以下的，减少出力达到电网负荷30%以上</w:t>
            </w:r>
          </w:p>
        </w:tc>
        <w:tc>
          <w:tcPr>
            <w:tcW w:w="1575" w:type="dxa"/>
          </w:tcPr>
          <w:p>
            <w:pPr>
              <w:pStyle w:val="3"/>
              <w:ind w:firstLine="552" w:firstLineChars="200"/>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发电设备因安全故障停止运行超过行业标准规定的大修时间两周，并导致电网减供负荷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275" w:type="dxa"/>
            <w:vAlign w:val="center"/>
          </w:tcPr>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一</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般</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事</w:t>
            </w:r>
          </w:p>
          <w:p>
            <w:pPr>
              <w:pStyle w:val="3"/>
              <w:jc w:val="center"/>
              <w:rPr>
                <w:rFonts w:hint="eastAsia" w:ascii="Times New Roman" w:hAnsi="Times New Roman" w:eastAsia="黑体" w:cs="黑体"/>
                <w:sz w:val="28"/>
                <w:szCs w:val="28"/>
              </w:rPr>
            </w:pPr>
            <w:r>
              <w:rPr>
                <w:rFonts w:hint="eastAsia" w:ascii="Times New Roman" w:hAnsi="Times New Roman" w:eastAsia="黑体" w:cs="黑体"/>
                <w:sz w:val="28"/>
                <w:szCs w:val="28"/>
              </w:rPr>
              <w:t>故</w:t>
            </w:r>
          </w:p>
        </w:tc>
        <w:tc>
          <w:tcPr>
            <w:tcW w:w="1380" w:type="dxa"/>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区域性电网，减供负荷4%以上7%以下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rPr>
              <w:t>省、自治区电网，负荷50000</w:t>
            </w:r>
            <w:r>
              <w:rPr>
                <w:rFonts w:hint="eastAsia" w:ascii="Times New Roman" w:hAnsi="Times New Roman" w:eastAsia="仿宋" w:cs="仿宋"/>
                <w:sz w:val="28"/>
                <w:szCs w:val="28"/>
                <w:lang w:val="en-US" w:eastAsia="zh-CN"/>
              </w:rPr>
              <w:t>兆瓦以上的，减</w:t>
            </w:r>
            <w:r>
              <w:rPr>
                <w:rFonts w:hint="eastAsia" w:ascii="Times New Roman" w:hAnsi="Times New Roman" w:eastAsia="仿宋" w:cs="仿宋"/>
                <w:sz w:val="28"/>
                <w:szCs w:val="28"/>
              </w:rPr>
              <w:t>供负荷5%以上10%以下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负荷11000兆瓦以上50000兆瓦以下的，减供负荷6%以上12%以下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负荷5000兆瓦以上11000兆瓦以下的，减供负荷10%以上20%以下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负荷5000兆瓦以下的，减供负荷25%以上40%</w:t>
            </w:r>
            <w:r>
              <w:rPr>
                <w:rFonts w:hint="eastAsia" w:ascii="Times New Roman" w:hAnsi="Times New Roman" w:eastAsia="仿宋" w:cs="仿宋"/>
                <w:sz w:val="28"/>
                <w:szCs w:val="28"/>
                <w:lang w:val="en-US" w:eastAsia="zh-CN"/>
              </w:rPr>
              <w:t>以下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直辖市电网，减供负荷5%以上10%以</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省、自治区人民政府所在地城市电网，减供负荷10%以上20%以下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rPr>
              <w:t>其他设区的市级行政区域电网，减供负荷20%以上40%以</w:t>
            </w:r>
            <w:r>
              <w:rPr>
                <w:rFonts w:hint="eastAsia" w:ascii="Times New Roman" w:hAnsi="Times New Roman" w:eastAsia="仿宋" w:cs="仿宋"/>
                <w:sz w:val="28"/>
                <w:szCs w:val="28"/>
                <w:lang w:val="en-US" w:eastAsia="zh-CN"/>
              </w:rPr>
              <w:t>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rPr>
              <w:t>县级市电网，负荷220兆瓦以上的，减供负荷40%以上60%以下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负荷220兆瓦以下的，减供负荷40%以</w:t>
            </w:r>
            <w:r>
              <w:rPr>
                <w:rFonts w:hint="eastAsia" w:ascii="Times New Roman" w:hAnsi="Times New Roman" w:eastAsia="仿宋" w:cs="仿宋"/>
                <w:sz w:val="28"/>
                <w:szCs w:val="28"/>
                <w:lang w:val="en-US" w:eastAsia="zh-CN"/>
              </w:rPr>
              <w:t>上</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其他县级行政区域电网，负荷180兆瓦以上的，减供负荷70%以上</w:t>
            </w:r>
          </w:p>
        </w:tc>
        <w:tc>
          <w:tcPr>
            <w:tcW w:w="1395" w:type="dxa"/>
            <w:vAlign w:val="top"/>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直辖市电</w:t>
            </w:r>
            <w:r>
              <w:rPr>
                <w:rFonts w:hint="eastAsia" w:ascii="Times New Roman" w:hAnsi="Times New Roman" w:eastAsia="仿宋" w:cs="仿宋"/>
                <w:sz w:val="28"/>
                <w:szCs w:val="28"/>
                <w:lang w:val="en-US" w:eastAsia="zh-CN"/>
              </w:rPr>
              <w:t>网</w:t>
            </w:r>
            <w:r>
              <w:rPr>
                <w:rFonts w:hint="eastAsia" w:ascii="Times New Roman" w:hAnsi="Times New Roman" w:eastAsia="仿宋" w:cs="仿宋"/>
                <w:sz w:val="28"/>
                <w:szCs w:val="28"/>
              </w:rPr>
              <w:t>10%以上15%以下供电用户停电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省、自治区人民政府所在地城市电网，15%以上30%以下供电用户停电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其他设区的市级行政区域电网，30%以上50%以下供电用户停电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县级市电网负荷220兆瓦以上的，50%以上70%以下供电用户停电</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负荷220兆瓦以下的，50%以上供电用户停电</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其他县级行政区域电网，负荷180兆瓦以上的，80%以上供电用户停电</w:t>
            </w:r>
          </w:p>
        </w:tc>
        <w:tc>
          <w:tcPr>
            <w:tcW w:w="1635" w:type="dxa"/>
            <w:vAlign w:val="top"/>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发电厂或者220千伏以上变电站因安全故障导致周边其他发电厂并网点或变电站的220千伏以上运行母线电压偏离系统标称电压15%以上，持续时间1.5小时以上。</w:t>
            </w:r>
          </w:p>
        </w:tc>
        <w:tc>
          <w:tcPr>
            <w:tcW w:w="1695" w:type="dxa"/>
            <w:vAlign w:val="top"/>
          </w:tcPr>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发电设备涉网性能不符合技术要求，造成省、自治区、直辖市电网，负荷50000兆瓦以上的，减少出力达到电网负荷2%以上10%以下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负荷11000兆瓦以上50000兆瓦以下的，减少出力达到电网负荷3%以上11%以下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负荷5000兆瓦以上11000兆瓦以下的，减少出力达到电网负荷9%以上15%以下</w:t>
            </w:r>
            <w:r>
              <w:rPr>
                <w:rFonts w:hint="eastAsia" w:ascii="Times New Roman" w:hAnsi="Times New Roman" w:eastAsia="仿宋" w:cs="仿宋"/>
                <w:sz w:val="28"/>
                <w:szCs w:val="28"/>
                <w:lang w:eastAsia="zh-CN"/>
              </w:rPr>
              <w:t>；</w:t>
            </w:r>
            <w:r>
              <w:rPr>
                <w:rFonts w:hint="eastAsia" w:ascii="Times New Roman" w:hAnsi="Times New Roman" w:eastAsia="仿宋" w:cs="仿宋"/>
                <w:sz w:val="28"/>
                <w:szCs w:val="28"/>
              </w:rPr>
              <w:t>负荷5000兆瓦以下的，减少出力达到电网负荷9%以上30%以下</w:t>
            </w:r>
          </w:p>
          <w:p>
            <w:pPr>
              <w:pStyle w:val="3"/>
              <w:keepNext w:val="0"/>
              <w:keepLines w:val="0"/>
              <w:pageBreakBefore w:val="0"/>
              <w:widowControl w:val="0"/>
              <w:kinsoku/>
              <w:wordWrap/>
              <w:overflowPunct/>
              <w:topLinePunct w:val="0"/>
              <w:autoSpaceDE/>
              <w:autoSpaceDN/>
              <w:bidi w:val="0"/>
              <w:adjustRightInd/>
              <w:snapToGrid/>
              <w:ind w:firstLine="552" w:firstLineChars="200"/>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因自身安全故障，发电设备单次减少出力3000兆瓦以上，其中新能源发电设备单次减少出力1000兆瓦以</w:t>
            </w:r>
            <w:r>
              <w:rPr>
                <w:rFonts w:hint="eastAsia" w:ascii="Times New Roman" w:hAnsi="Times New Roman" w:eastAsia="仿宋" w:cs="仿宋"/>
                <w:sz w:val="28"/>
                <w:szCs w:val="28"/>
                <w:lang w:val="en-US" w:eastAsia="zh-CN"/>
              </w:rPr>
              <w:t>上</w:t>
            </w:r>
          </w:p>
        </w:tc>
        <w:tc>
          <w:tcPr>
            <w:tcW w:w="1575" w:type="dxa"/>
            <w:vAlign w:val="top"/>
          </w:tcPr>
          <w:p>
            <w:pPr>
              <w:pStyle w:val="3"/>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发电设备因安全故障停止运行超过行业标准规定的小修时间两周，并导致电网减供负荷</w:t>
            </w:r>
          </w:p>
          <w:p>
            <w:pPr>
              <w:pStyle w:val="3"/>
              <w:ind w:firstLine="552" w:firstLineChars="200"/>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发电设备备用期间擅自检修，造成电力调度机构调用发电设备失败，并导致电网减供负荷</w:t>
            </w:r>
          </w:p>
        </w:tc>
      </w:tr>
    </w:tbl>
    <w:p>
      <w:pPr>
        <w:keepNext w:val="0"/>
        <w:keepLines w:val="0"/>
        <w:pageBreakBefore w:val="0"/>
        <w:widowControl w:val="0"/>
        <w:numPr>
          <w:ilvl w:val="0"/>
          <w:numId w:val="0"/>
        </w:numPr>
        <w:kinsoku/>
        <w:wordWrap/>
        <w:overflowPunct/>
        <w:topLinePunct w:val="0"/>
        <w:autoSpaceDE/>
        <w:autoSpaceDN/>
        <w:bidi w:val="0"/>
        <w:adjustRightInd/>
        <w:snapToGrid/>
        <w:ind w:left="0" w:leftChars="0" w:firstLine="552" w:firstLineChars="200"/>
        <w:textAlignment w:val="auto"/>
        <w:rPr>
          <w:rFonts w:hint="eastAsia" w:ascii="仿宋" w:hAnsi="仿宋" w:eastAsia="仿宋" w:cs="仿宋"/>
          <w:sz w:val="28"/>
          <w:szCs w:val="28"/>
          <w:lang w:val="en-US" w:eastAsia="zh-CN"/>
        </w:rPr>
      </w:pPr>
      <w:r>
        <w:rPr>
          <w:rFonts w:hint="eastAsia" w:ascii="Times New Roman" w:hAnsi="Times New Roman" w:eastAsia="宋体" w:cs="宋体"/>
          <w:sz w:val="28"/>
          <w:szCs w:val="28"/>
          <w:lang w:val="en-US" w:eastAsia="zh-CN"/>
        </w:rPr>
        <w:t>注：</w:t>
      </w:r>
      <w:r>
        <w:rPr>
          <w:rFonts w:hint="default" w:ascii="Times New Roman" w:hAnsi="Times New Roman" w:eastAsia="仿宋" w:cs="Times New Roman"/>
          <w:sz w:val="28"/>
          <w:szCs w:val="28"/>
          <w:lang w:val="en-US" w:eastAsia="zh-CN"/>
        </w:rPr>
        <w:t>1</w:t>
      </w:r>
      <w:r>
        <w:rPr>
          <w:rFonts w:hint="eastAsia" w:ascii="仿宋" w:hAnsi="仿宋" w:eastAsia="仿宋" w:cs="仿宋"/>
          <w:sz w:val="28"/>
          <w:szCs w:val="28"/>
          <w:lang w:val="en-US" w:eastAsia="zh-CN"/>
        </w:rPr>
        <w:t>.符合本表所列情形之一的，即构成相应等级的电力安全事故。</w:t>
      </w:r>
    </w:p>
    <w:p>
      <w:pPr>
        <w:keepNext w:val="0"/>
        <w:keepLines w:val="0"/>
        <w:pageBreakBefore w:val="0"/>
        <w:widowControl w:val="0"/>
        <w:numPr>
          <w:ilvl w:val="0"/>
          <w:numId w:val="0"/>
        </w:numPr>
        <w:kinsoku/>
        <w:wordWrap/>
        <w:overflowPunct/>
        <w:topLinePunct w:val="0"/>
        <w:autoSpaceDE/>
        <w:autoSpaceDN/>
        <w:bidi w:val="0"/>
        <w:adjustRightInd/>
        <w:snapToGrid/>
        <w:ind w:firstLine="1104" w:firstLineChars="400"/>
        <w:textAlignment w:val="auto"/>
        <w:rPr>
          <w:rFonts w:hint="eastAsia" w:ascii="仿宋" w:hAnsi="仿宋" w:eastAsia="仿宋" w:cs="仿宋"/>
          <w:sz w:val="28"/>
          <w:szCs w:val="28"/>
          <w:lang w:val="en-US" w:eastAsia="zh-CN"/>
        </w:rPr>
      </w:pPr>
      <w:r>
        <w:rPr>
          <w:rFonts w:hint="eastAsia" w:ascii="Times New Roman" w:hAnsi="Times New Roman" w:eastAsia="仿宋" w:cs="Times New Roman"/>
          <w:sz w:val="28"/>
          <w:szCs w:val="28"/>
          <w:lang w:val="en-US" w:eastAsia="zh-CN"/>
        </w:rPr>
        <w:t>2</w:t>
      </w:r>
      <w:r>
        <w:rPr>
          <w:rFonts w:hint="eastAsia" w:ascii="仿宋" w:hAnsi="仿宋" w:eastAsia="仿宋" w:cs="仿宋"/>
          <w:sz w:val="28"/>
          <w:szCs w:val="28"/>
          <w:lang w:val="en-US" w:eastAsia="zh-CN"/>
        </w:rPr>
        <w:t>.本表中所称的“以上”包括本数，“以下”不包括本数。</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1104" w:firstLineChars="400"/>
        <w:textAlignment w:val="auto"/>
        <w:rPr>
          <w:rFonts w:hint="eastAsia" w:ascii="仿宋" w:hAnsi="仿宋" w:eastAsia="仿宋" w:cs="仿宋"/>
          <w:sz w:val="28"/>
          <w:szCs w:val="28"/>
          <w:lang w:val="en-US" w:eastAsia="zh-CN"/>
        </w:rPr>
      </w:pPr>
      <w:r>
        <w:rPr>
          <w:rFonts w:hint="eastAsia" w:ascii="Times New Roman" w:hAnsi="Times New Roman" w:eastAsia="仿宋" w:cs="Times New Roman"/>
          <w:sz w:val="28"/>
          <w:szCs w:val="28"/>
          <w:lang w:val="en-US" w:eastAsia="zh-CN"/>
        </w:rPr>
        <w:t>3</w:t>
      </w:r>
      <w:r>
        <w:rPr>
          <w:rFonts w:hint="eastAsia" w:ascii="仿宋" w:hAnsi="仿宋" w:eastAsia="仿宋" w:cs="仿宋"/>
          <w:sz w:val="28"/>
          <w:szCs w:val="28"/>
          <w:lang w:val="en-US" w:eastAsia="zh-CN"/>
        </w:rPr>
        <w:t>.本表下列用语的含义：</w:t>
      </w:r>
    </w:p>
    <w:p>
      <w:pPr>
        <w:keepNext w:val="0"/>
        <w:keepLines w:val="0"/>
        <w:pageBreakBefore w:val="0"/>
        <w:widowControl w:val="0"/>
        <w:numPr>
          <w:ilvl w:val="0"/>
          <w:numId w:val="0"/>
        </w:numPr>
        <w:kinsoku/>
        <w:wordWrap/>
        <w:overflowPunct/>
        <w:topLinePunct w:val="0"/>
        <w:autoSpaceDE/>
        <w:autoSpaceDN/>
        <w:bidi w:val="0"/>
        <w:adjustRightInd/>
        <w:snapToGrid/>
        <w:ind w:left="1816" w:leftChars="400" w:hanging="552" w:hanging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eastAsia" w:ascii="Times New Roman" w:hAnsi="Times New Roman" w:eastAsia="仿宋" w:cs="Times New Roman"/>
          <w:sz w:val="28"/>
          <w:szCs w:val="28"/>
          <w:lang w:val="en-US" w:eastAsia="zh-CN"/>
        </w:rPr>
        <w:t>1</w:t>
      </w:r>
      <w:r>
        <w:rPr>
          <w:rFonts w:hint="eastAsia" w:ascii="仿宋" w:hAnsi="仿宋" w:eastAsia="仿宋" w:cs="仿宋"/>
          <w:sz w:val="28"/>
          <w:szCs w:val="28"/>
          <w:lang w:val="en-US" w:eastAsia="zh-CN"/>
        </w:rPr>
        <w:t>）电网负荷，是指电力调度机构统一调度的电网在事故发生起始时刻的实际负荷；</w:t>
      </w:r>
    </w:p>
    <w:p>
      <w:pPr>
        <w:keepNext w:val="0"/>
        <w:keepLines w:val="0"/>
        <w:pageBreakBefore w:val="0"/>
        <w:widowControl w:val="0"/>
        <w:numPr>
          <w:ilvl w:val="0"/>
          <w:numId w:val="0"/>
        </w:numPr>
        <w:kinsoku/>
        <w:wordWrap/>
        <w:overflowPunct/>
        <w:topLinePunct w:val="0"/>
        <w:autoSpaceDE/>
        <w:autoSpaceDN/>
        <w:bidi w:val="0"/>
        <w:adjustRightInd/>
        <w:snapToGrid/>
        <w:ind w:left="1816" w:leftChars="400" w:hanging="552" w:hanging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eastAsia" w:ascii="Times New Roman" w:hAnsi="Times New Roman" w:eastAsia="仿宋" w:cs="Times New Roman"/>
          <w:sz w:val="28"/>
          <w:szCs w:val="28"/>
          <w:lang w:val="en-US" w:eastAsia="zh-CN"/>
        </w:rPr>
        <w:t>2</w:t>
      </w:r>
      <w:r>
        <w:rPr>
          <w:rFonts w:hint="eastAsia" w:ascii="仿宋" w:hAnsi="仿宋" w:eastAsia="仿宋" w:cs="仿宋"/>
          <w:sz w:val="28"/>
          <w:szCs w:val="28"/>
          <w:lang w:val="en-US" w:eastAsia="zh-CN"/>
        </w:rPr>
        <w:t>）电网减供负荷，是指电力调度机构统一调度的电网在事故发生期间的实际负荷最大减少量；</w:t>
      </w:r>
    </w:p>
    <w:p>
      <w:pPr>
        <w:keepNext w:val="0"/>
        <w:keepLines w:val="0"/>
        <w:pageBreakBefore w:val="0"/>
        <w:widowControl w:val="0"/>
        <w:numPr>
          <w:ilvl w:val="0"/>
          <w:numId w:val="0"/>
        </w:numPr>
        <w:kinsoku/>
        <w:wordWrap/>
        <w:overflowPunct/>
        <w:topLinePunct w:val="0"/>
        <w:autoSpaceDE/>
        <w:autoSpaceDN/>
        <w:bidi w:val="0"/>
        <w:adjustRightInd/>
        <w:snapToGrid/>
        <w:ind w:left="1816" w:leftChars="400" w:hanging="552" w:hanging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eastAsia" w:ascii="Times New Roman" w:hAnsi="Times New Roman" w:eastAsia="仿宋" w:cs="Times New Roman"/>
          <w:sz w:val="28"/>
          <w:szCs w:val="28"/>
          <w:lang w:val="en-US" w:eastAsia="zh-CN"/>
        </w:rPr>
        <w:t>3</w:t>
      </w:r>
      <w:r>
        <w:rPr>
          <w:rFonts w:hint="eastAsia" w:ascii="仿宋" w:hAnsi="仿宋" w:eastAsia="仿宋" w:cs="仿宋"/>
          <w:sz w:val="28"/>
          <w:szCs w:val="28"/>
          <w:lang w:val="en-US" w:eastAsia="zh-CN"/>
        </w:rPr>
        <w:t>）涉网性能，是指发电设备所具备的有功/无功控制、频率电压响应、故障扰动耐受等涉及电网安全稳定运行的能力。</w:t>
      </w:r>
    </w:p>
    <w:p>
      <w:pPr>
        <w:keepNext w:val="0"/>
        <w:keepLines w:val="0"/>
        <w:pageBreakBefore w:val="0"/>
        <w:widowControl w:val="0"/>
        <w:numPr>
          <w:ilvl w:val="0"/>
          <w:numId w:val="0"/>
        </w:numPr>
        <w:kinsoku/>
        <w:wordWrap/>
        <w:overflowPunct/>
        <w:topLinePunct w:val="0"/>
        <w:autoSpaceDE/>
        <w:autoSpaceDN/>
        <w:bidi w:val="0"/>
        <w:adjustRightInd/>
        <w:snapToGrid/>
        <w:ind w:firstLine="1104" w:firstLineChars="400"/>
        <w:textAlignment w:val="auto"/>
        <w:rPr>
          <w:rFonts w:hint="eastAsia" w:ascii="仿宋" w:hAnsi="仿宋" w:eastAsia="仿宋" w:cs="仿宋"/>
          <w:sz w:val="28"/>
          <w:szCs w:val="28"/>
          <w:lang w:val="en-US" w:eastAsia="zh-CN"/>
        </w:rPr>
      </w:pPr>
      <w:r>
        <w:rPr>
          <w:rFonts w:hint="eastAsia" w:ascii="Times New Roman" w:hAnsi="Times New Roman" w:eastAsia="仿宋" w:cs="Times New Roman"/>
          <w:sz w:val="28"/>
          <w:szCs w:val="28"/>
          <w:lang w:val="en-US" w:eastAsia="zh-CN"/>
        </w:rPr>
        <w:t>4</w:t>
      </w:r>
      <w:r>
        <w:rPr>
          <w:rFonts w:hint="eastAsia" w:ascii="仿宋" w:hAnsi="仿宋" w:eastAsia="仿宋" w:cs="仿宋"/>
          <w:sz w:val="28"/>
          <w:szCs w:val="28"/>
          <w:lang w:val="en-US" w:eastAsia="zh-CN"/>
        </w:rPr>
        <w:t>.其他事项：</w:t>
      </w:r>
    </w:p>
    <w:p>
      <w:pPr>
        <w:keepNext w:val="0"/>
        <w:keepLines w:val="0"/>
        <w:pageBreakBefore w:val="0"/>
        <w:widowControl w:val="0"/>
        <w:numPr>
          <w:ilvl w:val="0"/>
          <w:numId w:val="0"/>
        </w:numPr>
        <w:kinsoku/>
        <w:wordWrap/>
        <w:overflowPunct/>
        <w:topLinePunct w:val="0"/>
        <w:autoSpaceDE/>
        <w:autoSpaceDN/>
        <w:bidi w:val="0"/>
        <w:adjustRightInd/>
        <w:snapToGrid/>
        <w:ind w:left="1816" w:leftChars="400" w:hanging="552" w:hanging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eastAsia" w:ascii="Times New Roman" w:hAnsi="Times New Roman" w:eastAsia="仿宋" w:cs="Times New Roman"/>
          <w:sz w:val="28"/>
          <w:szCs w:val="28"/>
          <w:lang w:val="en-US" w:eastAsia="zh-CN"/>
        </w:rPr>
        <w:t>1</w:t>
      </w:r>
      <w:r>
        <w:rPr>
          <w:rFonts w:hint="eastAsia" w:ascii="仿宋" w:hAnsi="仿宋" w:eastAsia="仿宋" w:cs="仿宋"/>
          <w:sz w:val="28"/>
          <w:szCs w:val="28"/>
          <w:lang w:val="en-US" w:eastAsia="zh-CN"/>
        </w:rPr>
        <w:t>）在国家标准、行业标准规定范围内的电压、频率波动期间，电力用户出于自身设备安全考虑主动脱离电网的负荷不纳入电网减供负荷统计；</w:t>
      </w:r>
    </w:p>
    <w:p>
      <w:pPr>
        <w:keepNext w:val="0"/>
        <w:keepLines w:val="0"/>
        <w:pageBreakBefore w:val="0"/>
        <w:widowControl w:val="0"/>
        <w:numPr>
          <w:ilvl w:val="0"/>
          <w:numId w:val="0"/>
        </w:numPr>
        <w:kinsoku/>
        <w:wordWrap/>
        <w:overflowPunct/>
        <w:topLinePunct w:val="0"/>
        <w:autoSpaceDE/>
        <w:autoSpaceDN/>
        <w:bidi w:val="0"/>
        <w:adjustRightInd/>
        <w:snapToGrid/>
        <w:ind w:left="1816" w:leftChars="400" w:hanging="552" w:hanging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hint="eastAsia" w:ascii="Times New Roman" w:hAnsi="Times New Roman" w:eastAsia="仿宋" w:cs="Times New Roman"/>
          <w:sz w:val="28"/>
          <w:szCs w:val="28"/>
          <w:lang w:val="en-US" w:eastAsia="zh-CN"/>
        </w:rPr>
        <w:t>2</w:t>
      </w:r>
      <w:r>
        <w:rPr>
          <w:rFonts w:hint="eastAsia" w:ascii="仿宋" w:hAnsi="仿宋" w:eastAsia="仿宋" w:cs="仿宋"/>
          <w:sz w:val="28"/>
          <w:szCs w:val="28"/>
          <w:lang w:val="en-US" w:eastAsia="zh-CN"/>
        </w:rPr>
        <w:t>）负荷占所在市级或者县级行政区域负荷</w:t>
      </w:r>
      <w:r>
        <w:rPr>
          <w:rFonts w:hint="default" w:ascii="Times New Roman" w:hAnsi="Times New Roman" w:eastAsia="仿宋" w:cs="Times New Roman"/>
          <w:sz w:val="28"/>
          <w:szCs w:val="28"/>
          <w:lang w:val="en-US" w:eastAsia="zh-CN"/>
        </w:rPr>
        <w:t>10%</w:t>
      </w:r>
      <w:r>
        <w:rPr>
          <w:rFonts w:hint="eastAsia" w:ascii="仿宋" w:hAnsi="仿宋" w:eastAsia="仿宋" w:cs="仿宋"/>
          <w:sz w:val="28"/>
          <w:szCs w:val="28"/>
          <w:lang w:val="en-US" w:eastAsia="zh-CN"/>
        </w:rPr>
        <w:t>以上，且通过单一输电线路或者单一变电站供电的电力用户，因其自身设备安全故障、设备不满足标准等原因，在电网发生单一故障扰动后仅造成该用户负荷损失的，不纳入电网减供负荷统计。</w:t>
      </w:r>
    </w:p>
    <w:sectPr>
      <w:footerReference r:id="rId3" w:type="default"/>
      <w:footerReference r:id="rId4" w:type="even"/>
      <w:pgSz w:w="11906" w:h="16838"/>
      <w:pgMar w:top="2098" w:right="1474" w:bottom="1984" w:left="1588" w:header="851" w:footer="1474" w:gutter="0"/>
      <w:lnNumType w:countBy="0" w:restart="continuous"/>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黑体_GBK">
    <w:altName w:val="微软雅黑"/>
    <w:panose1 w:val="02010600010101010101"/>
    <w:charset w:val="86"/>
    <w:family w:val="script"/>
    <w:pitch w:val="default"/>
    <w:sig w:usb0="00000000" w:usb1="00000000" w:usb2="00000000" w:usb3="00000000" w:csb0="00040000" w:csb1="00000000"/>
  </w:font>
  <w:font w:name="ˎ̥">
    <w:altName w:val="Noto Serif SC"/>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Noto Serif SC">
    <w:panose1 w:val="0202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865C2"/>
    <w:rsid w:val="00EA1748"/>
    <w:rsid w:val="00EA2922"/>
    <w:rsid w:val="00ED7C16"/>
    <w:rsid w:val="00EE2B0F"/>
    <w:rsid w:val="00EE52D1"/>
    <w:rsid w:val="00F352BC"/>
    <w:rsid w:val="00F4604E"/>
    <w:rsid w:val="00F53731"/>
    <w:rsid w:val="00F72984"/>
    <w:rsid w:val="00F7674E"/>
    <w:rsid w:val="00F97604"/>
    <w:rsid w:val="00FA7EE2"/>
    <w:rsid w:val="00FD0030"/>
    <w:rsid w:val="01BE7732"/>
    <w:rsid w:val="02CF4CE8"/>
    <w:rsid w:val="03B31109"/>
    <w:rsid w:val="04156BFD"/>
    <w:rsid w:val="05063D7F"/>
    <w:rsid w:val="05A5708C"/>
    <w:rsid w:val="06997F2C"/>
    <w:rsid w:val="09A34AE0"/>
    <w:rsid w:val="09E0077E"/>
    <w:rsid w:val="0AFB5144"/>
    <w:rsid w:val="0B4B7E79"/>
    <w:rsid w:val="0B786794"/>
    <w:rsid w:val="0C00483C"/>
    <w:rsid w:val="0D9804AC"/>
    <w:rsid w:val="0DDA791E"/>
    <w:rsid w:val="123353A1"/>
    <w:rsid w:val="130F49E2"/>
    <w:rsid w:val="13936861"/>
    <w:rsid w:val="15E96C0C"/>
    <w:rsid w:val="17977775"/>
    <w:rsid w:val="17C34BBF"/>
    <w:rsid w:val="1D4F3CA2"/>
    <w:rsid w:val="1D927673"/>
    <w:rsid w:val="1EE76F8F"/>
    <w:rsid w:val="208F6602"/>
    <w:rsid w:val="21641450"/>
    <w:rsid w:val="21CC05C6"/>
    <w:rsid w:val="2200260F"/>
    <w:rsid w:val="226310F3"/>
    <w:rsid w:val="226A2E83"/>
    <w:rsid w:val="23711FD7"/>
    <w:rsid w:val="24F5659E"/>
    <w:rsid w:val="251610A0"/>
    <w:rsid w:val="25B8207E"/>
    <w:rsid w:val="26705BD1"/>
    <w:rsid w:val="26736BAE"/>
    <w:rsid w:val="298A635B"/>
    <w:rsid w:val="2C286CBB"/>
    <w:rsid w:val="2C5D75B5"/>
    <w:rsid w:val="2C9C632F"/>
    <w:rsid w:val="2EC9480B"/>
    <w:rsid w:val="2F0D62B4"/>
    <w:rsid w:val="34473024"/>
    <w:rsid w:val="34582D2C"/>
    <w:rsid w:val="371337D0"/>
    <w:rsid w:val="37702892"/>
    <w:rsid w:val="386720F1"/>
    <w:rsid w:val="3C460065"/>
    <w:rsid w:val="3C527DA1"/>
    <w:rsid w:val="3CF47A8D"/>
    <w:rsid w:val="3D5B2BB6"/>
    <w:rsid w:val="3DE63740"/>
    <w:rsid w:val="3E267C4F"/>
    <w:rsid w:val="3FB419F3"/>
    <w:rsid w:val="40400BE3"/>
    <w:rsid w:val="40B90E06"/>
    <w:rsid w:val="4150251C"/>
    <w:rsid w:val="442624E3"/>
    <w:rsid w:val="479733DA"/>
    <w:rsid w:val="481351D2"/>
    <w:rsid w:val="4AB1034C"/>
    <w:rsid w:val="5248189E"/>
    <w:rsid w:val="53513120"/>
    <w:rsid w:val="53543565"/>
    <w:rsid w:val="558A062C"/>
    <w:rsid w:val="55D20C3F"/>
    <w:rsid w:val="563D1124"/>
    <w:rsid w:val="570E14DB"/>
    <w:rsid w:val="57CC3356"/>
    <w:rsid w:val="58C00099"/>
    <w:rsid w:val="5B2F58ED"/>
    <w:rsid w:val="5B8E0527"/>
    <w:rsid w:val="5BE5455C"/>
    <w:rsid w:val="5BE87A71"/>
    <w:rsid w:val="5C4C200A"/>
    <w:rsid w:val="5F066F8F"/>
    <w:rsid w:val="5F39165E"/>
    <w:rsid w:val="622F12CF"/>
    <w:rsid w:val="63A92BB6"/>
    <w:rsid w:val="66B717C3"/>
    <w:rsid w:val="68101585"/>
    <w:rsid w:val="69623539"/>
    <w:rsid w:val="6A2E56A6"/>
    <w:rsid w:val="6A464C09"/>
    <w:rsid w:val="6C552A97"/>
    <w:rsid w:val="6D384E6C"/>
    <w:rsid w:val="72692D33"/>
    <w:rsid w:val="730257DC"/>
    <w:rsid w:val="748C250E"/>
    <w:rsid w:val="775E649E"/>
    <w:rsid w:val="7785787E"/>
    <w:rsid w:val="786D6300"/>
    <w:rsid w:val="78D802CB"/>
    <w:rsid w:val="79D33FDF"/>
    <w:rsid w:val="79F878A6"/>
    <w:rsid w:val="7BB07870"/>
    <w:rsid w:val="7C596F70"/>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unhideWhenUsed/>
    <w:qFormat/>
    <w:uiPriority w:val="99"/>
    <w:rPr>
      <w:color w:val="954F72"/>
      <w:u w:val="single"/>
    </w:rPr>
  </w:style>
  <w:style w:type="character" w:styleId="10">
    <w:name w:val="Hyperlink"/>
    <w:qFormat/>
    <w:uiPriority w:val="99"/>
    <w:rPr>
      <w:rFonts w:hint="default" w:ascii="ˎ̥" w:hAnsi="ˎ̥"/>
      <w:color w:val="0404B3"/>
      <w:sz w:val="18"/>
      <w:szCs w:val="18"/>
      <w:u w:val="none"/>
    </w:rPr>
  </w:style>
  <w:style w:type="character" w:customStyle="1" w:styleId="11">
    <w:name w:val="页脚 Char"/>
    <w:link w:val="4"/>
    <w:qFormat/>
    <w:uiPriority w:val="99"/>
    <w:rPr>
      <w:sz w:val="18"/>
      <w:szCs w:val="18"/>
    </w:rPr>
  </w:style>
  <w:style w:type="character" w:customStyle="1" w:styleId="12">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8394</Words>
  <Characters>8824</Characters>
  <Lines>87</Lines>
  <Paragraphs>24</Paragraphs>
  <TotalTime>7</TotalTime>
  <ScaleCrop>false</ScaleCrop>
  <LinksUpToDate>false</LinksUpToDate>
  <CharactersWithSpaces>8873</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zwcaib</cp:lastModifiedBy>
  <cp:lastPrinted>2024-07-19T01:09:00Z</cp:lastPrinted>
  <dcterms:modified xsi:type="dcterms:W3CDTF">2026-09-24T08:49:48Z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42AA0D4443D04EAC808D2F0FF60A011F</vt:lpwstr>
  </property>
  <property fmtid="{D5CDD505-2E9C-101B-9397-08002B2CF9AE}" pid="3" name="KSOProductBuildVer">
    <vt:lpwstr>2052-11.8.2.11978</vt:lpwstr>
  </property>
  <property fmtid="{D5CDD505-2E9C-101B-9397-08002B2CF9AE}" pid="4" name="KSOTemplateDocerSaveRecord">
    <vt:lpwstr>eyJoZGlkIjoiNWQxZGYxNTY3NDM4M2YyNmY5NzExOWU3MGU1YTJhZGMiLCJ1c2VySWQiOiIyOTYzOTg2ODkifQ==</vt:lpwstr>
  </property>
</Properties>
</file>