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rPr>
          <w:rFonts w:ascii="黑体" w:hAnsi="黑体" w:eastAsia="黑体" w:cs="黑体"/>
          <w:color w:val="000000"/>
          <w:kern w:val="0"/>
          <w:szCs w:val="21"/>
          <w:lang w:bidi="ar"/>
        </w:rPr>
      </w:pPr>
      <w:r>
        <w:rPr>
          <w:rFonts w:ascii="黑体" w:hAnsi="黑体" w:eastAsia="黑体" w:cs="黑体"/>
          <w:color w:val="000000"/>
          <w:kern w:val="0"/>
          <w:szCs w:val="21"/>
          <w:lang w:bidi="ar"/>
        </w:rPr>
        <w:t>附件</w:t>
      </w:r>
      <w:r>
        <w:rPr>
          <w:rFonts w:hint="eastAsia" w:ascii="黑体" w:hAnsi="黑体" w:eastAsia="黑体" w:cs="黑体"/>
          <w:color w:val="000000"/>
          <w:kern w:val="0"/>
          <w:szCs w:val="21"/>
          <w:lang w:val="en-US" w:eastAsia="zh-CN" w:bidi="ar"/>
        </w:rPr>
        <w:t>3</w:t>
      </w:r>
      <w:r>
        <w:rPr>
          <w:rFonts w:hint="eastAsia" w:ascii="黑体" w:hAnsi="黑体" w:eastAsia="黑体" w:cs="黑体"/>
          <w:color w:val="000000"/>
          <w:kern w:val="0"/>
          <w:szCs w:val="21"/>
          <w:lang w:bidi="ar"/>
        </w:rPr>
        <w:t>：</w:t>
      </w:r>
    </w:p>
    <w:p>
      <w:pPr>
        <w:spacing w:line="360" w:lineRule="auto"/>
        <w:jc w:val="center"/>
        <w:rPr>
          <w:rFonts w:ascii="仿宋_GB2312" w:hAnsi="仿宋_GB2312" w:eastAsia="仿宋_GB2312" w:cs="仿宋_GB2312"/>
          <w:color w:val="000000"/>
          <w:kern w:val="1"/>
          <w:szCs w:val="21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kern w:val="1"/>
          <w:sz w:val="32"/>
          <w:szCs w:val="32"/>
        </w:rPr>
        <w:t>横琴粤澳深度合作区</w:t>
      </w:r>
      <w:r>
        <w:rPr>
          <w:rFonts w:ascii="方正小标宋简体" w:hAnsi="方正小标宋简体" w:eastAsia="方正小标宋简体" w:cs="方正小标宋简体"/>
          <w:color w:val="000000"/>
          <w:kern w:val="1"/>
          <w:sz w:val="32"/>
          <w:szCs w:val="32"/>
        </w:rPr>
        <w:t>工程造价咨询成果</w:t>
      </w:r>
      <w:r>
        <w:rPr>
          <w:rFonts w:hint="eastAsia" w:ascii="方正小标宋简体" w:hAnsi="方正小标宋简体" w:eastAsia="方正小标宋简体" w:cs="方正小标宋简体"/>
          <w:color w:val="000000"/>
          <w:kern w:val="1"/>
          <w:sz w:val="32"/>
          <w:szCs w:val="32"/>
          <w:lang w:eastAsia="zh-CN"/>
        </w:rPr>
        <w:t>文件</w:t>
      </w:r>
      <w:r>
        <w:rPr>
          <w:rFonts w:ascii="方正小标宋简体" w:hAnsi="方正小标宋简体" w:eastAsia="方正小标宋简体" w:cs="方正小标宋简体"/>
          <w:color w:val="000000"/>
          <w:kern w:val="1"/>
          <w:sz w:val="32"/>
          <w:szCs w:val="32"/>
        </w:rPr>
        <w:t>检查评分表</w:t>
      </w:r>
      <w:r>
        <w:rPr>
          <w:rFonts w:hint="eastAsia" w:ascii="仿宋_GB2312" w:hAnsi="仿宋_GB2312" w:eastAsia="仿宋_GB2312" w:cs="仿宋_GB2312"/>
          <w:color w:val="000000"/>
          <w:kern w:val="1"/>
          <w:szCs w:val="21"/>
        </w:rPr>
        <w:t>(占综合评分60%)</w:t>
      </w:r>
    </w:p>
    <w:p>
      <w:pPr>
        <w:spacing w:line="360" w:lineRule="auto"/>
        <w:jc w:val="left"/>
        <w:rPr>
          <w:rFonts w:ascii="黑体" w:hAnsi="黑体" w:eastAsia="黑体" w:cs="黑体"/>
          <w:sz w:val="24"/>
        </w:rPr>
      </w:pPr>
      <w:r>
        <w:rPr>
          <w:rFonts w:hint="eastAsia" w:ascii="黑体" w:hAnsi="黑体" w:eastAsia="黑体" w:cs="黑体"/>
          <w:sz w:val="24"/>
        </w:rPr>
        <w:t>受检项目名称：</w:t>
      </w:r>
    </w:p>
    <w:p>
      <w:pPr>
        <w:spacing w:line="360" w:lineRule="auto"/>
        <w:jc w:val="left"/>
        <w:rPr>
          <w:rFonts w:ascii="黑体" w:hAnsi="黑体" w:eastAsia="黑体" w:cs="黑体"/>
          <w:sz w:val="24"/>
        </w:rPr>
      </w:pPr>
      <w:r>
        <w:rPr>
          <w:rFonts w:hint="eastAsia" w:ascii="黑体" w:hAnsi="黑体" w:eastAsia="黑体" w:cs="黑体"/>
          <w:sz w:val="24"/>
        </w:rPr>
        <w:t>受检单位：                                                                 项目负责人：</w:t>
      </w:r>
    </w:p>
    <w:tbl>
      <w:tblPr>
        <w:tblStyle w:val="8"/>
        <w:tblW w:w="14555" w:type="dxa"/>
        <w:tblInd w:w="-20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2"/>
        <w:gridCol w:w="895"/>
        <w:gridCol w:w="2200"/>
        <w:gridCol w:w="5547"/>
        <w:gridCol w:w="674"/>
        <w:gridCol w:w="2687"/>
        <w:gridCol w:w="709"/>
        <w:gridCol w:w="117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672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b/>
                <w:bCs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Cs w:val="21"/>
              </w:rPr>
              <w:t>序号</w:t>
            </w:r>
          </w:p>
        </w:tc>
        <w:tc>
          <w:tcPr>
            <w:tcW w:w="3095" w:type="dxa"/>
            <w:gridSpan w:val="2"/>
            <w:vAlign w:val="center"/>
          </w:tcPr>
          <w:p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b/>
                <w:bCs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Cs w:val="21"/>
              </w:rPr>
              <w:t>评分项目</w:t>
            </w:r>
          </w:p>
        </w:tc>
        <w:tc>
          <w:tcPr>
            <w:tcW w:w="5547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b/>
                <w:bCs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Cs w:val="21"/>
              </w:rPr>
              <w:t>评分标准</w:t>
            </w:r>
          </w:p>
        </w:tc>
        <w:tc>
          <w:tcPr>
            <w:tcW w:w="674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b/>
                <w:bCs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Cs w:val="21"/>
              </w:rPr>
              <w:t>分值</w:t>
            </w:r>
          </w:p>
        </w:tc>
        <w:tc>
          <w:tcPr>
            <w:tcW w:w="2687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b/>
                <w:bCs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Cs w:val="21"/>
              </w:rPr>
              <w:t>检查情况</w:t>
            </w:r>
          </w:p>
        </w:tc>
        <w:tc>
          <w:tcPr>
            <w:tcW w:w="709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b/>
                <w:bCs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Cs w:val="21"/>
              </w:rPr>
              <w:t>得分</w:t>
            </w:r>
          </w:p>
        </w:tc>
        <w:tc>
          <w:tcPr>
            <w:tcW w:w="1171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b/>
                <w:bCs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</w:trPr>
        <w:tc>
          <w:tcPr>
            <w:tcW w:w="672" w:type="dxa"/>
            <w:vMerge w:val="restart"/>
            <w:vAlign w:val="center"/>
          </w:tcPr>
          <w:p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1</w:t>
            </w:r>
          </w:p>
        </w:tc>
        <w:tc>
          <w:tcPr>
            <w:tcW w:w="895" w:type="dxa"/>
            <w:vMerge w:val="restart"/>
            <w:vAlign w:val="center"/>
          </w:tcPr>
          <w:p>
            <w:pPr>
              <w:spacing w:line="320" w:lineRule="exact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造价成果文件是否规范</w:t>
            </w:r>
          </w:p>
          <w:p>
            <w:pPr>
              <w:spacing w:line="320" w:lineRule="exact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(28分)</w:t>
            </w:r>
          </w:p>
        </w:tc>
        <w:tc>
          <w:tcPr>
            <w:tcW w:w="2200" w:type="dxa"/>
            <w:vMerge w:val="restart"/>
            <w:vAlign w:val="center"/>
          </w:tcPr>
          <w:p>
            <w:pPr>
              <w:spacing w:line="300" w:lineRule="exact"/>
              <w:jc w:val="lef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1</w:t>
            </w:r>
            <w:r>
              <w:rPr>
                <w:rFonts w:ascii="仿宋_GB2312" w:hAnsi="仿宋_GB2312" w:eastAsia="仿宋_GB2312" w:cs="仿宋_GB2312"/>
                <w:szCs w:val="21"/>
              </w:rPr>
              <w:t>.1</w:t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t>成果文件的合法合规性</w:t>
            </w:r>
          </w:p>
        </w:tc>
        <w:tc>
          <w:tcPr>
            <w:tcW w:w="5547" w:type="dxa"/>
            <w:vAlign w:val="center"/>
          </w:tcPr>
          <w:p>
            <w:pPr>
              <w:spacing w:line="300" w:lineRule="exact"/>
              <w:jc w:val="lef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未签订造价咨询合同的，扣</w:t>
            </w:r>
            <w:r>
              <w:rPr>
                <w:rFonts w:ascii="仿宋_GB2312" w:hAnsi="仿宋_GB2312" w:eastAsia="仿宋_GB2312" w:cs="仿宋_GB2312"/>
                <w:szCs w:val="21"/>
              </w:rPr>
              <w:t>2</w:t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t>分。</w:t>
            </w:r>
          </w:p>
        </w:tc>
        <w:tc>
          <w:tcPr>
            <w:tcW w:w="674" w:type="dxa"/>
            <w:vAlign w:val="center"/>
          </w:tcPr>
          <w:p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color w:val="000000"/>
                <w:szCs w:val="21"/>
              </w:rPr>
            </w:pPr>
            <w:r>
              <w:rPr>
                <w:rFonts w:ascii="仿宋_GB2312" w:hAnsi="仿宋_GB2312" w:eastAsia="仿宋_GB2312" w:cs="仿宋_GB2312"/>
                <w:color w:val="000000"/>
                <w:szCs w:val="21"/>
              </w:rPr>
              <w:t>2</w:t>
            </w:r>
          </w:p>
        </w:tc>
        <w:tc>
          <w:tcPr>
            <w:tcW w:w="2687" w:type="dxa"/>
            <w:vAlign w:val="center"/>
          </w:tcPr>
          <w:p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709" w:type="dxa"/>
            <w:vAlign w:val="center"/>
          </w:tcPr>
          <w:p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1171" w:type="dxa"/>
            <w:vAlign w:val="center"/>
          </w:tcPr>
          <w:p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</w:trPr>
        <w:tc>
          <w:tcPr>
            <w:tcW w:w="672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  <w:tc>
          <w:tcPr>
            <w:tcW w:w="895" w:type="dxa"/>
            <w:vMerge w:val="continue"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  <w:tc>
          <w:tcPr>
            <w:tcW w:w="2200" w:type="dxa"/>
            <w:vMerge w:val="continue"/>
            <w:vAlign w:val="center"/>
          </w:tcPr>
          <w:p>
            <w:pPr>
              <w:spacing w:line="300" w:lineRule="exact"/>
              <w:jc w:val="left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  <w:tc>
          <w:tcPr>
            <w:tcW w:w="5547" w:type="dxa"/>
            <w:vAlign w:val="center"/>
          </w:tcPr>
          <w:p>
            <w:pPr>
              <w:spacing w:line="300" w:lineRule="exact"/>
              <w:jc w:val="left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为转包承接的，扣</w:t>
            </w:r>
            <w:r>
              <w:rPr>
                <w:rFonts w:ascii="仿宋_GB2312" w:hAnsi="仿宋_GB2312" w:eastAsia="仿宋_GB2312" w:cs="仿宋_GB2312"/>
                <w:szCs w:val="21"/>
              </w:rPr>
              <w:t>2</w:t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t>分。</w:t>
            </w:r>
          </w:p>
        </w:tc>
        <w:tc>
          <w:tcPr>
            <w:tcW w:w="674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  <w:t>2</w:t>
            </w:r>
          </w:p>
        </w:tc>
        <w:tc>
          <w:tcPr>
            <w:tcW w:w="2687" w:type="dxa"/>
            <w:vAlign w:val="center"/>
          </w:tcPr>
          <w:p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709" w:type="dxa"/>
            <w:vAlign w:val="center"/>
          </w:tcPr>
          <w:p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1171" w:type="dxa"/>
            <w:vAlign w:val="center"/>
          </w:tcPr>
          <w:p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4" w:hRule="atLeast"/>
        </w:trPr>
        <w:tc>
          <w:tcPr>
            <w:tcW w:w="672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895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2200" w:type="dxa"/>
            <w:vMerge w:val="restart"/>
            <w:vAlign w:val="center"/>
          </w:tcPr>
          <w:p>
            <w:pPr>
              <w:spacing w:line="300" w:lineRule="exact"/>
              <w:jc w:val="lef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1.2造价成果文件签章是否符合规定</w:t>
            </w:r>
          </w:p>
        </w:tc>
        <w:tc>
          <w:tcPr>
            <w:tcW w:w="5547" w:type="dxa"/>
            <w:vAlign w:val="center"/>
          </w:tcPr>
          <w:p>
            <w:pPr>
              <w:spacing w:line="300" w:lineRule="exact"/>
              <w:jc w:val="lef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成果文件封面、扉页、正文、成果文件等必备内容缺失，每缺1项扣1分。</w:t>
            </w:r>
          </w:p>
        </w:tc>
        <w:tc>
          <w:tcPr>
            <w:tcW w:w="674" w:type="dxa"/>
            <w:vAlign w:val="center"/>
          </w:tcPr>
          <w:p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color w:val="00000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  <w:t>2</w:t>
            </w:r>
          </w:p>
        </w:tc>
        <w:tc>
          <w:tcPr>
            <w:tcW w:w="2687" w:type="dxa"/>
            <w:vAlign w:val="center"/>
          </w:tcPr>
          <w:p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709" w:type="dxa"/>
            <w:vAlign w:val="center"/>
          </w:tcPr>
          <w:p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1171" w:type="dxa"/>
            <w:vAlign w:val="center"/>
          </w:tcPr>
          <w:p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4" w:hRule="atLeast"/>
        </w:trPr>
        <w:tc>
          <w:tcPr>
            <w:tcW w:w="672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895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2200" w:type="dxa"/>
            <w:vMerge w:val="continue"/>
            <w:vAlign w:val="center"/>
          </w:tcPr>
          <w:p>
            <w:pPr>
              <w:spacing w:line="300" w:lineRule="exact"/>
              <w:jc w:val="left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5547" w:type="dxa"/>
            <w:vAlign w:val="center"/>
          </w:tcPr>
          <w:p>
            <w:pPr>
              <w:spacing w:line="300" w:lineRule="exact"/>
              <w:jc w:val="lef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编制、复核、批准三级签名，每缺1项扣1分。</w:t>
            </w:r>
          </w:p>
        </w:tc>
        <w:tc>
          <w:tcPr>
            <w:tcW w:w="674" w:type="dxa"/>
            <w:vAlign w:val="center"/>
          </w:tcPr>
          <w:p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color w:val="00000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  <w:t>3</w:t>
            </w:r>
          </w:p>
        </w:tc>
        <w:tc>
          <w:tcPr>
            <w:tcW w:w="2687" w:type="dxa"/>
            <w:vAlign w:val="center"/>
          </w:tcPr>
          <w:p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709" w:type="dxa"/>
            <w:vAlign w:val="center"/>
          </w:tcPr>
          <w:p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1171" w:type="dxa"/>
            <w:vAlign w:val="center"/>
          </w:tcPr>
          <w:p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4" w:hRule="atLeast"/>
        </w:trPr>
        <w:tc>
          <w:tcPr>
            <w:tcW w:w="672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895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2200" w:type="dxa"/>
            <w:vMerge w:val="continue"/>
            <w:vAlign w:val="center"/>
          </w:tcPr>
          <w:p>
            <w:pPr>
              <w:spacing w:line="300" w:lineRule="exact"/>
              <w:jc w:val="left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5547" w:type="dxa"/>
            <w:vAlign w:val="center"/>
          </w:tcPr>
          <w:p>
            <w:pPr>
              <w:spacing w:line="300" w:lineRule="exact"/>
              <w:jc w:val="lef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编制人、复核人加盖有效期内的注册造价师执业印章，成果文件加盖咨询企业公章，每缺1项扣1分。</w:t>
            </w:r>
          </w:p>
        </w:tc>
        <w:tc>
          <w:tcPr>
            <w:tcW w:w="674" w:type="dxa"/>
            <w:vAlign w:val="center"/>
          </w:tcPr>
          <w:p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color w:val="00000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  <w:t>3</w:t>
            </w:r>
          </w:p>
        </w:tc>
        <w:tc>
          <w:tcPr>
            <w:tcW w:w="2687" w:type="dxa"/>
            <w:vAlign w:val="center"/>
          </w:tcPr>
          <w:p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709" w:type="dxa"/>
            <w:vAlign w:val="center"/>
          </w:tcPr>
          <w:p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1171" w:type="dxa"/>
            <w:vAlign w:val="center"/>
          </w:tcPr>
          <w:p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4" w:hRule="atLeast"/>
        </w:trPr>
        <w:tc>
          <w:tcPr>
            <w:tcW w:w="672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895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2200" w:type="dxa"/>
            <w:vMerge w:val="restart"/>
            <w:vAlign w:val="center"/>
          </w:tcPr>
          <w:p>
            <w:pPr>
              <w:spacing w:line="300" w:lineRule="exact"/>
              <w:jc w:val="lef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1</w:t>
            </w:r>
            <w:r>
              <w:rPr>
                <w:rFonts w:ascii="仿宋_GB2312" w:hAnsi="仿宋_GB2312" w:eastAsia="仿宋_GB2312" w:cs="仿宋_GB2312"/>
                <w:szCs w:val="21"/>
              </w:rPr>
              <w:t>.3</w:t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t>造价成果文件及过程文件组成是否完整</w:t>
            </w:r>
          </w:p>
        </w:tc>
        <w:tc>
          <w:tcPr>
            <w:tcW w:w="5547" w:type="dxa"/>
            <w:vAlign w:val="center"/>
          </w:tcPr>
          <w:p>
            <w:pPr>
              <w:spacing w:line="300" w:lineRule="exact"/>
              <w:jc w:val="lef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项目概况与图纸说明、招标或合同文件不符的扣1分。</w:t>
            </w:r>
          </w:p>
          <w:p>
            <w:pPr>
              <w:spacing w:line="300" w:lineRule="exact"/>
              <w:jc w:val="lef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计价依据描述不完善或不准确扣1分,缺失扣2分。</w:t>
            </w:r>
          </w:p>
          <w:p>
            <w:pPr>
              <w:spacing w:line="300" w:lineRule="exact"/>
              <w:jc w:val="lef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费用计取说明不完善或不准确扣1分,缺失扣2分。</w:t>
            </w:r>
          </w:p>
          <w:p>
            <w:pPr>
              <w:spacing w:line="300" w:lineRule="exact"/>
              <w:jc w:val="lef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编制情况和结论不完善或不准确扣1分,缺失扣2分。</w:t>
            </w:r>
          </w:p>
        </w:tc>
        <w:tc>
          <w:tcPr>
            <w:tcW w:w="674" w:type="dxa"/>
            <w:vAlign w:val="center"/>
          </w:tcPr>
          <w:p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color w:val="00000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  <w:t>7</w:t>
            </w:r>
          </w:p>
        </w:tc>
        <w:tc>
          <w:tcPr>
            <w:tcW w:w="2687" w:type="dxa"/>
            <w:vAlign w:val="center"/>
          </w:tcPr>
          <w:p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709" w:type="dxa"/>
            <w:vAlign w:val="center"/>
          </w:tcPr>
          <w:p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1171" w:type="dxa"/>
            <w:vAlign w:val="center"/>
          </w:tcPr>
          <w:p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4" w:hRule="atLeast"/>
        </w:trPr>
        <w:tc>
          <w:tcPr>
            <w:tcW w:w="672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895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2200" w:type="dxa"/>
            <w:vMerge w:val="continue"/>
            <w:vAlign w:val="center"/>
          </w:tcPr>
          <w:p>
            <w:pPr>
              <w:spacing w:line="300" w:lineRule="exact"/>
              <w:jc w:val="left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5547" w:type="dxa"/>
            <w:vAlign w:val="center"/>
          </w:tcPr>
          <w:p>
            <w:pPr>
              <w:spacing w:line="300" w:lineRule="exact"/>
              <w:jc w:val="lef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计价文件不符合以下要求的，每1项扣1分。</w:t>
            </w:r>
          </w:p>
          <w:p>
            <w:pPr>
              <w:spacing w:line="300" w:lineRule="exact"/>
              <w:jc w:val="lef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1.计价软件文件内容完整，结构清晰,工程名称、组成、造价与成果文件一致。</w:t>
            </w:r>
          </w:p>
          <w:p>
            <w:pPr>
              <w:spacing w:line="300" w:lineRule="exact"/>
              <w:jc w:val="lef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2.X</w:t>
            </w:r>
            <w:r>
              <w:rPr>
                <w:rFonts w:ascii="仿宋_GB2312" w:hAnsi="仿宋_GB2312" w:eastAsia="仿宋_GB2312" w:cs="仿宋_GB2312"/>
                <w:szCs w:val="21"/>
              </w:rPr>
              <w:t>M</w:t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t>L文件工程名称、造价与计价软件文件一致。</w:t>
            </w:r>
          </w:p>
        </w:tc>
        <w:tc>
          <w:tcPr>
            <w:tcW w:w="674" w:type="dxa"/>
            <w:vAlign w:val="center"/>
          </w:tcPr>
          <w:p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color w:val="00000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  <w:t>2</w:t>
            </w:r>
          </w:p>
        </w:tc>
        <w:tc>
          <w:tcPr>
            <w:tcW w:w="2687" w:type="dxa"/>
            <w:vAlign w:val="center"/>
          </w:tcPr>
          <w:p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709" w:type="dxa"/>
            <w:vAlign w:val="center"/>
          </w:tcPr>
          <w:p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1171" w:type="dxa"/>
            <w:vAlign w:val="center"/>
          </w:tcPr>
          <w:p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672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895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2200" w:type="dxa"/>
            <w:vMerge w:val="continue"/>
            <w:vAlign w:val="center"/>
          </w:tcPr>
          <w:p>
            <w:pPr>
              <w:spacing w:line="300" w:lineRule="exact"/>
              <w:jc w:val="left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5547" w:type="dxa"/>
            <w:vAlign w:val="center"/>
          </w:tcPr>
          <w:p>
            <w:pPr>
              <w:spacing w:line="300" w:lineRule="exact"/>
              <w:jc w:val="lef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图纸不完整的，扣1分；缺失扣2分。</w:t>
            </w:r>
          </w:p>
        </w:tc>
        <w:tc>
          <w:tcPr>
            <w:tcW w:w="674" w:type="dxa"/>
            <w:vAlign w:val="center"/>
          </w:tcPr>
          <w:p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color w:val="00000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  <w:t>2</w:t>
            </w:r>
          </w:p>
        </w:tc>
        <w:tc>
          <w:tcPr>
            <w:tcW w:w="2687" w:type="dxa"/>
            <w:vAlign w:val="center"/>
          </w:tcPr>
          <w:p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709" w:type="dxa"/>
            <w:vAlign w:val="center"/>
          </w:tcPr>
          <w:p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1171" w:type="dxa"/>
            <w:vAlign w:val="center"/>
          </w:tcPr>
          <w:p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672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895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2200" w:type="dxa"/>
            <w:vAlign w:val="center"/>
          </w:tcPr>
          <w:p>
            <w:pPr>
              <w:spacing w:line="300" w:lineRule="exact"/>
              <w:jc w:val="lef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1.</w:t>
            </w:r>
            <w:r>
              <w:rPr>
                <w:rFonts w:ascii="仿宋_GB2312" w:hAnsi="仿宋_GB2312" w:eastAsia="仿宋_GB2312" w:cs="仿宋_GB2312"/>
                <w:szCs w:val="21"/>
              </w:rPr>
              <w:t>4</w:t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t>项目资料是否报珠海市建设工程造价监管系统备案</w:t>
            </w:r>
          </w:p>
        </w:tc>
        <w:tc>
          <w:tcPr>
            <w:tcW w:w="5547" w:type="dxa"/>
            <w:vAlign w:val="center"/>
          </w:tcPr>
          <w:p>
            <w:pPr>
              <w:spacing w:line="300" w:lineRule="exact"/>
              <w:jc w:val="lef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未在珠海市建设工程造价监管系统备案的，扣5分。</w:t>
            </w:r>
          </w:p>
        </w:tc>
        <w:tc>
          <w:tcPr>
            <w:tcW w:w="674" w:type="dxa"/>
            <w:vAlign w:val="center"/>
          </w:tcPr>
          <w:p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color w:val="00000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  <w:t>5</w:t>
            </w:r>
          </w:p>
        </w:tc>
        <w:tc>
          <w:tcPr>
            <w:tcW w:w="2687" w:type="dxa"/>
            <w:vAlign w:val="center"/>
          </w:tcPr>
          <w:p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color w:val="000000"/>
                <w:szCs w:val="21"/>
              </w:rPr>
            </w:pPr>
          </w:p>
        </w:tc>
        <w:tc>
          <w:tcPr>
            <w:tcW w:w="709" w:type="dxa"/>
            <w:vAlign w:val="center"/>
          </w:tcPr>
          <w:p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1171" w:type="dxa"/>
            <w:vAlign w:val="center"/>
          </w:tcPr>
          <w:p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72" w:type="dxa"/>
            <w:vMerge w:val="restart"/>
            <w:vAlign w:val="center"/>
          </w:tcPr>
          <w:p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2</w:t>
            </w:r>
          </w:p>
        </w:tc>
        <w:tc>
          <w:tcPr>
            <w:tcW w:w="895" w:type="dxa"/>
            <w:vMerge w:val="restart"/>
            <w:vAlign w:val="center"/>
          </w:tcPr>
          <w:p>
            <w:pPr>
              <w:spacing w:line="320" w:lineRule="exact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计量是否规范</w:t>
            </w:r>
          </w:p>
          <w:p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(36分)</w:t>
            </w:r>
          </w:p>
        </w:tc>
        <w:tc>
          <w:tcPr>
            <w:tcW w:w="2200" w:type="dxa"/>
            <w:vMerge w:val="restart"/>
            <w:vAlign w:val="center"/>
          </w:tcPr>
          <w:p>
            <w:pPr>
              <w:spacing w:line="300" w:lineRule="exact"/>
              <w:jc w:val="lef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2.1工程量清单是否符合清单计价规范要求</w:t>
            </w:r>
          </w:p>
        </w:tc>
        <w:tc>
          <w:tcPr>
            <w:tcW w:w="5547" w:type="dxa"/>
            <w:vAlign w:val="center"/>
          </w:tcPr>
          <w:p>
            <w:pPr>
              <w:spacing w:line="300" w:lineRule="exact"/>
              <w:jc w:val="lef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工程量清单项目编码、项目名称、项目特征、计量单位和工程量要素不齐全，不符合清单规范、现行计价规范等要求，每项扣1分。</w:t>
            </w:r>
          </w:p>
        </w:tc>
        <w:tc>
          <w:tcPr>
            <w:tcW w:w="674" w:type="dxa"/>
            <w:vAlign w:val="center"/>
          </w:tcPr>
          <w:p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9</w:t>
            </w:r>
          </w:p>
        </w:tc>
        <w:tc>
          <w:tcPr>
            <w:tcW w:w="2687" w:type="dxa"/>
            <w:vAlign w:val="center"/>
          </w:tcPr>
          <w:p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709" w:type="dxa"/>
            <w:vAlign w:val="center"/>
          </w:tcPr>
          <w:p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1171" w:type="dxa"/>
            <w:vAlign w:val="center"/>
          </w:tcPr>
          <w:p>
            <w:pPr>
              <w:spacing w:line="300" w:lineRule="exact"/>
              <w:jc w:val="left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</w:trPr>
        <w:tc>
          <w:tcPr>
            <w:tcW w:w="672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895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2200" w:type="dxa"/>
            <w:vMerge w:val="continue"/>
            <w:vAlign w:val="center"/>
          </w:tcPr>
          <w:p>
            <w:pPr>
              <w:spacing w:line="300" w:lineRule="exact"/>
              <w:jc w:val="left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5547" w:type="dxa"/>
            <w:vAlign w:val="center"/>
          </w:tcPr>
          <w:p>
            <w:pPr>
              <w:spacing w:line="300" w:lineRule="exact"/>
              <w:jc w:val="left"/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清单范围与招标文件不符的扣3分。</w:t>
            </w:r>
          </w:p>
        </w:tc>
        <w:tc>
          <w:tcPr>
            <w:tcW w:w="674" w:type="dxa"/>
            <w:vAlign w:val="center"/>
          </w:tcPr>
          <w:p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3</w:t>
            </w:r>
          </w:p>
        </w:tc>
        <w:tc>
          <w:tcPr>
            <w:tcW w:w="2687" w:type="dxa"/>
            <w:vAlign w:val="center"/>
          </w:tcPr>
          <w:p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709" w:type="dxa"/>
            <w:vAlign w:val="center"/>
          </w:tcPr>
          <w:p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1171" w:type="dxa"/>
            <w:vAlign w:val="center"/>
          </w:tcPr>
          <w:p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</w:trPr>
        <w:tc>
          <w:tcPr>
            <w:tcW w:w="672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895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2200" w:type="dxa"/>
            <w:vMerge w:val="continue"/>
            <w:vAlign w:val="center"/>
          </w:tcPr>
          <w:p>
            <w:pPr>
              <w:spacing w:line="300" w:lineRule="exact"/>
              <w:jc w:val="left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5547" w:type="dxa"/>
            <w:vAlign w:val="center"/>
          </w:tcPr>
          <w:p>
            <w:pPr>
              <w:spacing w:line="300" w:lineRule="exact"/>
              <w:jc w:val="lef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特征描述不准确全面或产生歧义的，每项扣0.5分。</w:t>
            </w:r>
          </w:p>
        </w:tc>
        <w:tc>
          <w:tcPr>
            <w:tcW w:w="674" w:type="dxa"/>
            <w:vAlign w:val="center"/>
          </w:tcPr>
          <w:p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6</w:t>
            </w:r>
          </w:p>
        </w:tc>
        <w:tc>
          <w:tcPr>
            <w:tcW w:w="2687" w:type="dxa"/>
            <w:vAlign w:val="center"/>
          </w:tcPr>
          <w:p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709" w:type="dxa"/>
            <w:vAlign w:val="center"/>
          </w:tcPr>
          <w:p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1171" w:type="dxa"/>
            <w:vAlign w:val="center"/>
          </w:tcPr>
          <w:p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0" w:hRule="atLeast"/>
        </w:trPr>
        <w:tc>
          <w:tcPr>
            <w:tcW w:w="672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895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2200" w:type="dxa"/>
            <w:vAlign w:val="center"/>
          </w:tcPr>
          <w:p>
            <w:pPr>
              <w:spacing w:line="300" w:lineRule="exact"/>
              <w:jc w:val="lef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2.2清单工程量是否准确</w:t>
            </w:r>
          </w:p>
        </w:tc>
        <w:tc>
          <w:tcPr>
            <w:tcW w:w="5547" w:type="dxa"/>
            <w:vAlign w:val="center"/>
          </w:tcPr>
          <w:p>
            <w:pPr>
              <w:spacing w:line="300" w:lineRule="exact"/>
              <w:jc w:val="lef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对与财政局审核的预算比较，存在错、漏、重算的工程量清单项目，单项合价（被审项目工程量</w:t>
            </w:r>
            <w:r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  <w:t>×</w:t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t>财审中心审核的预算综合单价）大于财审中心审核的预算分</w:t>
            </w:r>
            <w:bookmarkStart w:id="0" w:name="_GoBack"/>
            <w:bookmarkEnd w:id="0"/>
            <w:r>
              <w:rPr>
                <w:rFonts w:hint="eastAsia" w:ascii="仿宋_GB2312" w:hAnsi="仿宋_GB2312" w:eastAsia="仿宋_GB2312" w:cs="仿宋_GB2312"/>
                <w:szCs w:val="21"/>
              </w:rPr>
              <w:t>部合价5%的项目，单项工程量误差率在3%以内不扣分，超过的，每增加0.1%扣0.5分。</w:t>
            </w:r>
          </w:p>
        </w:tc>
        <w:tc>
          <w:tcPr>
            <w:tcW w:w="674" w:type="dxa"/>
            <w:vAlign w:val="center"/>
          </w:tcPr>
          <w:p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18</w:t>
            </w:r>
          </w:p>
        </w:tc>
        <w:tc>
          <w:tcPr>
            <w:tcW w:w="2687" w:type="dxa"/>
            <w:vAlign w:val="center"/>
          </w:tcPr>
          <w:p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709" w:type="dxa"/>
            <w:vAlign w:val="center"/>
          </w:tcPr>
          <w:p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1171" w:type="dxa"/>
            <w:vAlign w:val="center"/>
          </w:tcPr>
          <w:p>
            <w:pPr>
              <w:spacing w:line="300" w:lineRule="exact"/>
              <w:jc w:val="left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672" w:type="dxa"/>
            <w:vMerge w:val="restart"/>
            <w:vAlign w:val="center"/>
          </w:tcPr>
          <w:p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3</w:t>
            </w:r>
          </w:p>
        </w:tc>
        <w:tc>
          <w:tcPr>
            <w:tcW w:w="895" w:type="dxa"/>
            <w:vMerge w:val="restart"/>
            <w:vAlign w:val="center"/>
          </w:tcPr>
          <w:p>
            <w:pPr>
              <w:spacing w:line="320" w:lineRule="exact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计价是否规范</w:t>
            </w:r>
          </w:p>
          <w:p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(36分)</w:t>
            </w:r>
          </w:p>
        </w:tc>
        <w:tc>
          <w:tcPr>
            <w:tcW w:w="2200" w:type="dxa"/>
            <w:vMerge w:val="restart"/>
            <w:vAlign w:val="center"/>
          </w:tcPr>
          <w:p>
            <w:pPr>
              <w:spacing w:line="300" w:lineRule="exact"/>
              <w:jc w:val="lef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3.1取费是否符合规定</w:t>
            </w:r>
          </w:p>
        </w:tc>
        <w:tc>
          <w:tcPr>
            <w:tcW w:w="5547" w:type="dxa"/>
            <w:vAlign w:val="center"/>
          </w:tcPr>
          <w:p>
            <w:pPr>
              <w:jc w:val="left"/>
              <w:rPr>
                <w:rFonts w:ascii="宋体" w:hAnsi="宋体"/>
                <w:sz w:val="20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是否存在组价明显错误，如组价与项目特征描述不一致、组价工程量错误或组价有重大偏差等,每项扣1分。</w:t>
            </w:r>
          </w:p>
        </w:tc>
        <w:tc>
          <w:tcPr>
            <w:tcW w:w="674" w:type="dxa"/>
            <w:vAlign w:val="center"/>
          </w:tcPr>
          <w:p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color w:val="00000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  <w:t>6</w:t>
            </w:r>
          </w:p>
        </w:tc>
        <w:tc>
          <w:tcPr>
            <w:tcW w:w="2687" w:type="dxa"/>
            <w:vAlign w:val="center"/>
          </w:tcPr>
          <w:p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709" w:type="dxa"/>
            <w:vAlign w:val="center"/>
          </w:tcPr>
          <w:p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1171" w:type="dxa"/>
            <w:vAlign w:val="center"/>
          </w:tcPr>
          <w:p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0" w:hRule="atLeast"/>
        </w:trPr>
        <w:tc>
          <w:tcPr>
            <w:tcW w:w="672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895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2200" w:type="dxa"/>
            <w:vMerge w:val="continue"/>
            <w:vAlign w:val="center"/>
          </w:tcPr>
          <w:p>
            <w:pPr>
              <w:spacing w:line="300" w:lineRule="exact"/>
              <w:jc w:val="left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5547" w:type="dxa"/>
            <w:vAlign w:val="center"/>
          </w:tcPr>
          <w:p>
            <w:pPr>
              <w:jc w:val="lef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主要材料价格计价依据是否符合要求，所询价格是否严重偏离市场情况，存在疑点时无法提供依据支撑的，每项扣1分。</w:t>
            </w:r>
          </w:p>
        </w:tc>
        <w:tc>
          <w:tcPr>
            <w:tcW w:w="674" w:type="dxa"/>
            <w:vAlign w:val="center"/>
          </w:tcPr>
          <w:p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color w:val="00000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  <w:t>4</w:t>
            </w:r>
          </w:p>
        </w:tc>
        <w:tc>
          <w:tcPr>
            <w:tcW w:w="2687" w:type="dxa"/>
            <w:vAlign w:val="center"/>
          </w:tcPr>
          <w:p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709" w:type="dxa"/>
            <w:vAlign w:val="center"/>
          </w:tcPr>
          <w:p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1171" w:type="dxa"/>
            <w:vAlign w:val="center"/>
          </w:tcPr>
          <w:p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</w:trPr>
        <w:tc>
          <w:tcPr>
            <w:tcW w:w="672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895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2200" w:type="dxa"/>
            <w:vMerge w:val="continue"/>
            <w:vAlign w:val="center"/>
          </w:tcPr>
          <w:p>
            <w:pPr>
              <w:spacing w:line="300" w:lineRule="exact"/>
              <w:jc w:val="left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5547" w:type="dxa"/>
            <w:vAlign w:val="center"/>
          </w:tcPr>
          <w:p>
            <w:pPr>
              <w:jc w:val="lef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相同材料价格不一致却未作说明的，每发现一处扣1分。</w:t>
            </w:r>
          </w:p>
        </w:tc>
        <w:tc>
          <w:tcPr>
            <w:tcW w:w="674" w:type="dxa"/>
            <w:vAlign w:val="center"/>
          </w:tcPr>
          <w:p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color w:val="00000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  <w:t>6</w:t>
            </w:r>
          </w:p>
        </w:tc>
        <w:tc>
          <w:tcPr>
            <w:tcW w:w="2687" w:type="dxa"/>
            <w:vAlign w:val="center"/>
          </w:tcPr>
          <w:p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709" w:type="dxa"/>
            <w:vAlign w:val="center"/>
          </w:tcPr>
          <w:p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1171" w:type="dxa"/>
            <w:vAlign w:val="center"/>
          </w:tcPr>
          <w:p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0" w:hRule="atLeast"/>
        </w:trPr>
        <w:tc>
          <w:tcPr>
            <w:tcW w:w="672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895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2200" w:type="dxa"/>
            <w:vMerge w:val="continue"/>
            <w:vAlign w:val="center"/>
          </w:tcPr>
          <w:p>
            <w:pPr>
              <w:spacing w:line="300" w:lineRule="exact"/>
              <w:jc w:val="left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5547" w:type="dxa"/>
            <w:vAlign w:val="center"/>
          </w:tcPr>
          <w:p>
            <w:pPr>
              <w:jc w:val="lef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企业管理费、利润、风险费、按费率计算措施费、总承包服务费等费用存在遗漏或计价程序、取费基数、费率出现错误的，每项扣1分。</w:t>
            </w:r>
          </w:p>
        </w:tc>
        <w:tc>
          <w:tcPr>
            <w:tcW w:w="674" w:type="dxa"/>
            <w:vAlign w:val="center"/>
          </w:tcPr>
          <w:p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color w:val="00000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  <w:t>12</w:t>
            </w:r>
          </w:p>
        </w:tc>
        <w:tc>
          <w:tcPr>
            <w:tcW w:w="2687" w:type="dxa"/>
            <w:vAlign w:val="center"/>
          </w:tcPr>
          <w:p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709" w:type="dxa"/>
            <w:vAlign w:val="center"/>
          </w:tcPr>
          <w:p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1171" w:type="dxa"/>
            <w:vAlign w:val="center"/>
          </w:tcPr>
          <w:p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" w:hRule="atLeast"/>
        </w:trPr>
        <w:tc>
          <w:tcPr>
            <w:tcW w:w="672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895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2200" w:type="dxa"/>
            <w:vMerge w:val="continue"/>
            <w:vAlign w:val="center"/>
          </w:tcPr>
          <w:p>
            <w:pPr>
              <w:spacing w:line="300" w:lineRule="exact"/>
              <w:jc w:val="left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5547" w:type="dxa"/>
            <w:vAlign w:val="center"/>
          </w:tcPr>
          <w:p>
            <w:pPr>
              <w:jc w:val="lef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税金错误的扣2分。</w:t>
            </w:r>
          </w:p>
        </w:tc>
        <w:tc>
          <w:tcPr>
            <w:tcW w:w="674" w:type="dxa"/>
            <w:vAlign w:val="center"/>
          </w:tcPr>
          <w:p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color w:val="00000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  <w:t>2</w:t>
            </w:r>
          </w:p>
        </w:tc>
        <w:tc>
          <w:tcPr>
            <w:tcW w:w="2687" w:type="dxa"/>
            <w:vAlign w:val="center"/>
          </w:tcPr>
          <w:p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709" w:type="dxa"/>
            <w:vAlign w:val="center"/>
          </w:tcPr>
          <w:p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1171" w:type="dxa"/>
            <w:vAlign w:val="center"/>
          </w:tcPr>
          <w:p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0" w:hRule="atLeast"/>
        </w:trPr>
        <w:tc>
          <w:tcPr>
            <w:tcW w:w="672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895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2200" w:type="dxa"/>
            <w:vMerge w:val="continue"/>
            <w:vAlign w:val="center"/>
          </w:tcPr>
          <w:p>
            <w:pPr>
              <w:spacing w:line="300" w:lineRule="exact"/>
              <w:jc w:val="left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5547" w:type="dxa"/>
            <w:vAlign w:val="center"/>
          </w:tcPr>
          <w:p>
            <w:pPr>
              <w:jc w:val="left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绿色施工安全防护措施费、规费等费用计算不符合行业计价依据规定的，每发现一处扣1分。</w:t>
            </w:r>
          </w:p>
        </w:tc>
        <w:tc>
          <w:tcPr>
            <w:tcW w:w="674" w:type="dxa"/>
            <w:vAlign w:val="center"/>
          </w:tcPr>
          <w:p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color w:val="00000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  <w:t>6</w:t>
            </w:r>
          </w:p>
        </w:tc>
        <w:tc>
          <w:tcPr>
            <w:tcW w:w="2687" w:type="dxa"/>
            <w:vAlign w:val="center"/>
          </w:tcPr>
          <w:p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709" w:type="dxa"/>
            <w:vAlign w:val="center"/>
          </w:tcPr>
          <w:p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1171" w:type="dxa"/>
            <w:vAlign w:val="center"/>
          </w:tcPr>
          <w:p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9988" w:type="dxa"/>
            <w:gridSpan w:val="5"/>
            <w:vAlign w:val="center"/>
          </w:tcPr>
          <w:p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总得分</w:t>
            </w:r>
          </w:p>
        </w:tc>
        <w:tc>
          <w:tcPr>
            <w:tcW w:w="4567" w:type="dxa"/>
            <w:gridSpan w:val="3"/>
            <w:vAlign w:val="center"/>
          </w:tcPr>
          <w:p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2" w:hRule="atLeast"/>
        </w:trPr>
        <w:tc>
          <w:tcPr>
            <w:tcW w:w="3767" w:type="dxa"/>
            <w:gridSpan w:val="3"/>
            <w:vAlign w:val="center"/>
          </w:tcPr>
          <w:p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szCs w:val="21"/>
              </w:rPr>
              <w:t>专家签名</w:t>
            </w:r>
          </w:p>
        </w:tc>
        <w:tc>
          <w:tcPr>
            <w:tcW w:w="6221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4567" w:type="dxa"/>
            <w:gridSpan w:val="3"/>
            <w:vAlign w:val="center"/>
          </w:tcPr>
          <w:p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b/>
                <w:color w:val="00000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szCs w:val="21"/>
              </w:rPr>
              <w:t xml:space="preserve"> 检查日期：  年  月  日</w:t>
            </w:r>
          </w:p>
        </w:tc>
      </w:tr>
    </w:tbl>
    <w:p>
      <w:pPr>
        <w:snapToGrid w:val="0"/>
        <w:jc w:val="left"/>
        <w:rPr>
          <w:rFonts w:ascii="仿宋_GB2312" w:hAnsi="仿宋_GB2312" w:eastAsia="仿宋_GB2312" w:cs="仿宋_GB2312"/>
        </w:rPr>
      </w:pPr>
    </w:p>
    <w:sectPr>
      <w:footerReference r:id="rId3" w:type="default"/>
      <w:pgSz w:w="16838" w:h="11906" w:orient="landscape"/>
      <w:pgMar w:top="1009" w:right="1440" w:bottom="1800" w:left="144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5"/>
                          </w:pPr>
                          <w:r>
                            <w:rPr>
                              <w:rFonts w:hint="eastAsia"/>
                            </w:rPr>
                            <w:t xml:space="preserve">第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t>2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页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5"/>
                    </w:pPr>
                    <w:r>
                      <w:rPr>
                        <w:rFonts w:hint="eastAsia"/>
                      </w:rPr>
                      <w:t xml:space="preserve">第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t>2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  <w:r>
                      <w:rPr>
                        <w:rFonts w:hint="eastAsia"/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2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E5OTM0Mzk4OTJlNWZlNTMxN2QwNDRiMGU1YWJmMjAifQ=="/>
  </w:docVars>
  <w:rsids>
    <w:rsidRoot w:val="3C724197"/>
    <w:rsid w:val="000237F0"/>
    <w:rsid w:val="000479E3"/>
    <w:rsid w:val="0007361F"/>
    <w:rsid w:val="000D41BA"/>
    <w:rsid w:val="001D5A60"/>
    <w:rsid w:val="00204509"/>
    <w:rsid w:val="002A296C"/>
    <w:rsid w:val="00374EED"/>
    <w:rsid w:val="003F0FED"/>
    <w:rsid w:val="005D383B"/>
    <w:rsid w:val="00667592"/>
    <w:rsid w:val="00907824"/>
    <w:rsid w:val="00A5668C"/>
    <w:rsid w:val="00AE2A4D"/>
    <w:rsid w:val="00C57FE1"/>
    <w:rsid w:val="00DD283F"/>
    <w:rsid w:val="00E860F7"/>
    <w:rsid w:val="00F30C35"/>
    <w:rsid w:val="00F776A6"/>
    <w:rsid w:val="00FE29EE"/>
    <w:rsid w:val="02F403E5"/>
    <w:rsid w:val="04563283"/>
    <w:rsid w:val="09261728"/>
    <w:rsid w:val="0B2E0EC5"/>
    <w:rsid w:val="0C3A111C"/>
    <w:rsid w:val="0F855496"/>
    <w:rsid w:val="11A7329F"/>
    <w:rsid w:val="130C04BA"/>
    <w:rsid w:val="157E7CA2"/>
    <w:rsid w:val="16A020D3"/>
    <w:rsid w:val="1DCE60A6"/>
    <w:rsid w:val="23F739F1"/>
    <w:rsid w:val="25DD6D16"/>
    <w:rsid w:val="297F1691"/>
    <w:rsid w:val="2CE12A4B"/>
    <w:rsid w:val="2E037714"/>
    <w:rsid w:val="2E06778F"/>
    <w:rsid w:val="2FF10071"/>
    <w:rsid w:val="33E14364"/>
    <w:rsid w:val="36054F45"/>
    <w:rsid w:val="39B51BBA"/>
    <w:rsid w:val="39DD3C08"/>
    <w:rsid w:val="3C724197"/>
    <w:rsid w:val="400E5591"/>
    <w:rsid w:val="401D4686"/>
    <w:rsid w:val="4A593B07"/>
    <w:rsid w:val="4C4F4C3F"/>
    <w:rsid w:val="4F6E2D92"/>
    <w:rsid w:val="4F92457F"/>
    <w:rsid w:val="53267709"/>
    <w:rsid w:val="5DB004C1"/>
    <w:rsid w:val="5E5440A4"/>
    <w:rsid w:val="61D37C8C"/>
    <w:rsid w:val="666F3643"/>
    <w:rsid w:val="66844626"/>
    <w:rsid w:val="66F32F7B"/>
    <w:rsid w:val="6A321B28"/>
    <w:rsid w:val="6B1A25E6"/>
    <w:rsid w:val="6BB22B39"/>
    <w:rsid w:val="6E63518D"/>
    <w:rsid w:val="6EB505AF"/>
    <w:rsid w:val="713D78D4"/>
    <w:rsid w:val="71B132B0"/>
    <w:rsid w:val="72D512EA"/>
    <w:rsid w:val="73372DF7"/>
    <w:rsid w:val="7ED568CF"/>
    <w:rsid w:val="7F9E4655"/>
    <w:rsid w:val="7FA173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qFormat="1"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 2"/>
    <w:basedOn w:val="1"/>
    <w:next w:val="3"/>
    <w:qFormat/>
    <w:uiPriority w:val="0"/>
    <w:pPr>
      <w:spacing w:after="120" w:line="480" w:lineRule="auto"/>
      <w:ind w:left="420" w:leftChars="200"/>
    </w:pPr>
  </w:style>
  <w:style w:type="paragraph" w:styleId="3">
    <w:name w:val="Body Text"/>
    <w:basedOn w:val="1"/>
    <w:next w:val="4"/>
    <w:qFormat/>
    <w:uiPriority w:val="0"/>
    <w:pPr>
      <w:spacing w:after="120"/>
    </w:pPr>
  </w:style>
  <w:style w:type="paragraph" w:styleId="4">
    <w:name w:val="toc 5"/>
    <w:basedOn w:val="1"/>
    <w:next w:val="1"/>
    <w:qFormat/>
    <w:uiPriority w:val="0"/>
    <w:pPr>
      <w:suppressAutoHyphens/>
      <w:ind w:left="1680" w:leftChars="800"/>
    </w:pPr>
    <w:rPr>
      <w:kern w:val="1"/>
      <w:lang w:eastAsia="ar-SA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Strong"/>
    <w:basedOn w:val="9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市直单位</Company>
  <Pages>2</Pages>
  <Words>197</Words>
  <Characters>1124</Characters>
  <Lines>9</Lines>
  <Paragraphs>2</Paragraphs>
  <TotalTime>1</TotalTime>
  <ScaleCrop>false</ScaleCrop>
  <LinksUpToDate>false</LinksUpToDate>
  <CharactersWithSpaces>1319</CharactersWithSpaces>
  <Application>WPS Office_11.8.2.12085_F1E327BC-269C-435d-A152-05C5408002CA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2024-08-19T14:03:00Z</dcterms:created>
  <dc:creator>Orbit</dc:creator>
  <cp:lastModifiedBy>苏玲霞:返回拟稿人</cp:lastModifiedBy>
  <cp:lastPrinted>2026-10-09T06:59:54Z</cp:lastPrinted>
  <dcterms:modified xsi:type="dcterms:W3CDTF">2026-10-09T07:58:33Z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2052-11.8.2.12085</vt:lpwstr>
  </property>
  <property fmtid="{D5CDD505-2E9C-101B-9397-08002B2CF9AE}" pid="3" name="ICV">
    <vt:lpwstr>0B8E0EA9AE7942DDB35714CD0ABC46B2</vt:lpwstr>
  </property>
</Properties>
</file>