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color w:val="1F2329"/>
          <w:sz w:val="44"/>
          <w:szCs w:val="44"/>
          <w:shd w:val="clear" w:color="auto" w:fill="FFFFFF"/>
        </w:rPr>
      </w:pPr>
      <w:r>
        <w:rPr>
          <w:rFonts w:hint="eastAsia" w:ascii="方正小标宋简体" w:hAnsi="方正小标宋简体" w:eastAsia="方正小标宋简体" w:cs="方正小标宋简体"/>
          <w:color w:val="1F2329"/>
          <w:sz w:val="44"/>
          <w:szCs w:val="44"/>
          <w:shd w:val="clear" w:color="auto" w:fill="FFFFFF"/>
        </w:rPr>
        <w:t>《天沐河久久桥专题研究服务》</w:t>
      </w:r>
    </w:p>
    <w:p>
      <w:pPr>
        <w:spacing w:line="560" w:lineRule="exact"/>
        <w:jc w:val="center"/>
        <w:rPr>
          <w:rFonts w:hint="eastAsia" w:ascii="方正小标宋简体" w:hAnsi="方正小标宋简体" w:eastAsia="方正小标宋简体" w:cs="方正小标宋简体"/>
          <w:color w:val="1F2329"/>
          <w:sz w:val="44"/>
          <w:szCs w:val="44"/>
          <w:shd w:val="clear" w:color="auto" w:fill="FFFFFF"/>
        </w:rPr>
      </w:pPr>
      <w:r>
        <w:rPr>
          <w:rFonts w:hint="eastAsia" w:ascii="方正小标宋简体" w:hAnsi="方正小标宋简体" w:eastAsia="方正小标宋简体" w:cs="方正小标宋简体"/>
          <w:color w:val="1F2329"/>
          <w:sz w:val="44"/>
          <w:szCs w:val="44"/>
          <w:shd w:val="clear" w:color="auto" w:fill="FFFFFF"/>
        </w:rPr>
        <w:t>项目需求书</w:t>
      </w:r>
    </w:p>
    <w:p>
      <w:pPr>
        <w:spacing w:line="560" w:lineRule="exact"/>
        <w:ind w:firstLine="800" w:firstLineChars="200"/>
        <w:jc w:val="center"/>
        <w:rPr>
          <w:rFonts w:hint="eastAsia" w:ascii="标准公文_小标宋" w:hAnsi="标准公文_小标宋" w:eastAsia="标准公文_小标宋" w:cs="标准公文_小标宋"/>
          <w:color w:val="1F2329"/>
          <w:sz w:val="40"/>
          <w:szCs w:val="40"/>
          <w:shd w:val="clear" w:color="auto" w:fill="FFFFFF"/>
        </w:rPr>
      </w:pPr>
    </w:p>
    <w:p>
      <w:pPr>
        <w:spacing w:line="560" w:lineRule="exact"/>
        <w:ind w:firstLine="640" w:firstLineChars="200"/>
        <w:rPr>
          <w:rFonts w:hint="eastAsia" w:ascii="标准公文_仿宋" w:hAnsi="标准公文_仿宋" w:eastAsia="标准公文_仿宋" w:cs="标准公文_仿宋"/>
          <w:color w:val="1F2329"/>
          <w:sz w:val="32"/>
          <w:szCs w:val="32"/>
          <w:highlight w:val="none"/>
          <w:shd w:val="clear" w:color="auto" w:fill="FFFFFF"/>
        </w:rPr>
      </w:pPr>
      <w:r>
        <w:rPr>
          <w:rFonts w:hint="eastAsia" w:ascii="黑体" w:hAnsi="黑体" w:eastAsia="黑体" w:cs="黑体"/>
          <w:color w:val="1F2329"/>
          <w:sz w:val="32"/>
          <w:szCs w:val="32"/>
          <w:highlight w:val="none"/>
          <w:shd w:val="clear" w:color="auto" w:fill="FFFFFF"/>
        </w:rPr>
        <w:t>一、项目背景</w:t>
      </w:r>
    </w:p>
    <w:p>
      <w:pPr>
        <w:spacing w:line="560" w:lineRule="exact"/>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天沐河久久桥位于横琴粤澳深度合作区，主桥跨径组合为（24+23+97+23+19）m，由主跨张弦梁﹑V墩与边跨钢结构组成；主桥标准宽度12 m，主跨跨中局部变宽至18m形成观景平台。主跨采用倒三角断面，由钢箱主梁、斜撑（腹杆）和主缆组成，斜撑（腹杆）+主梁高约1.3 m~6.5 m，矢跨比约为1/15，属于轻型、大跨、景观属性较强的慢行桥梁结构。</w:t>
      </w:r>
    </w:p>
    <w:p>
      <w:pPr>
        <w:spacing w:line="560" w:lineRule="exact"/>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从建筑与景观方案看，桥梁兼具通行、观景、停留、休闲与活动集散等复合功能，桥面设置雨棚、座椅、花池及错层空间，使用场景明显区别于普通通道型人行桥。由于该桥位于台风高发防御区域，桥梁在服役中通常同时面临三类关键动力问题：其一是主梁及附属构筑物在风作用下的抗风安全与风致舒适性问题；其二是行人步行、跑步及群体活动引起的人致振动舒适性问题；其三是抗震性能问题。因此，需要进行专题研究。</w:t>
      </w:r>
    </w:p>
    <w:p>
      <w:pPr>
        <w:spacing w:line="560" w:lineRule="exact"/>
        <w:ind w:firstLine="640" w:firstLineChars="200"/>
        <w:rPr>
          <w:rFonts w:hint="eastAsia" w:ascii="黑体" w:hAnsi="黑体" w:eastAsia="黑体" w:cs="黑体"/>
          <w:color w:val="1F2329"/>
          <w:sz w:val="32"/>
          <w:szCs w:val="32"/>
          <w:highlight w:val="none"/>
          <w:shd w:val="clear" w:color="auto" w:fill="FFFFFF"/>
        </w:rPr>
      </w:pPr>
      <w:r>
        <w:rPr>
          <w:rFonts w:hint="eastAsia" w:ascii="黑体" w:hAnsi="黑体" w:eastAsia="黑体" w:cs="黑体"/>
          <w:color w:val="1F2329"/>
          <w:sz w:val="32"/>
          <w:szCs w:val="32"/>
          <w:highlight w:val="none"/>
          <w:shd w:val="clear" w:color="auto" w:fill="FFFFFF"/>
        </w:rPr>
        <w:t>二、专题研究服务工作内容</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综合考虑桥梁总体布置、景观运营需求、雨棚附属构造以及慢行桥使用特征，需要开展以下三部分专项研究工作。</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2.1 子课题1：桥梁抗风性能研究</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（1）风场及设计风参数分析</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收集桥址区域气象、地形、规划环境及既有风资料，分析平均风、脉动风、风攻角、风剖面及设计风参数，为风洞试验和数值计算提供依据。</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（2）全桥动力特性分析</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基于设计资料建立全桥有限元模型，分析成桥状态下主要竖弯、横弯、扭转及耦联模态，明确结构自振频率、振型和等效质量等动力参数，为后续抗风分析和模型试验提供结构动力参数。</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（3）主梁-雨棚组合断面及雨棚风荷载分析</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考虑雨棚、局部变宽及附属构造对主梁气动外形和局部风环境的影响，采用风洞试验方法建立主梁标准断面、主梁与雨棚组合断面及必要的局部变宽断面分析模型，分析不同风攻角（0和±3度）下的气动力特性，以及雨棚表面风压分布、风荷载和不利受力区域。在此基础上，开展雨棚及其支承体系的静风和风振响应分析，评估其抗风安全性，并提出必要的断面及雨棚布置优化建议。</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（4）主梁节段模型测力试验</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试验目的是获取本桥倒三角主梁、跨中加宽观景平台异形断面、雨棚组合断面的空气动力系数，修正数值模拟风荷载参数，解决异形断面数值仿真精度不足的问题。</w:t>
      </w:r>
    </w:p>
    <w:p>
      <w:pPr>
        <w:spacing w:line="560" w:lineRule="exact"/>
        <w:ind w:firstLineChars="200"/>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sz w:val="32"/>
          <w:szCs w:val="32"/>
          <w:lang w:bidi="ar"/>
        </w:rPr>
        <w:t>试验内容为利用风洞试验开展刚体测力、测压试验，测试不同风攻角（0和±3度）下结构三分力系数（升力、阻力、扭矩），为静风稳定性评价和抖振响应分析提供基础气动参数</w:t>
      </w:r>
      <w:r>
        <w:rPr>
          <w:rFonts w:hint="eastAsia" w:ascii="仿宋_GB2312" w:hAnsi="仿宋_GB2312" w:eastAsia="仿宋_GB2312" w:cs="仿宋_GB2312"/>
          <w:sz w:val="32"/>
          <w:szCs w:val="32"/>
          <w:lang w:eastAsia="zh-CN" w:bidi="ar"/>
        </w:rPr>
        <w:t>。</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（5）主梁节段模型测振试验</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针对具有代表性或气动性能不利的主梁断面开展节段模型测振试验，测试不同来流条件和风攻角下的涡振响应、锁定风速区间、振幅水平及颤振临界风速，评价主梁涡振性能和颤振稳定性，必要时提出气动优化或振动控制建议。</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（6）成桥状态气弹模型试验</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全桥动力特性分析及节段模型试验的基础上，开展成桥状态气弹模型试验，模拟桥址处大气边界层来流，测试不同风攻角（0和±3度）和风速条件下桥梁整体的风致振动响应，重点考察抖振、涡振及潜在耦联振动，验证桥梁整体抗风安全性及舒适性。真实还原全桥结构刚度、质量、阻尼及气动外形，考核大跨度张弦梁柔性体系在强台风工况下的整体风致稳定性与振动响应。</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2.2 子课题2：桥梁人致振动分析与舒适度评价</w:t>
      </w:r>
    </w:p>
    <w:p>
      <w:pPr>
        <w:spacing w:line="560" w:lineRule="exact"/>
        <w:ind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本桥行人荷载为主要活荷载。桥梁钢结构刚度轻柔、自振频率偏低，跨中观景平台区域人流量大，存在行人慢速步行、快速跑步、驻足聚集、群体活动等多种工况，极易引发结构共振，产生明显竖向及侧向振动，影响行人体验，严重时会引发结构疲劳损伤。</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（1）结构动力特征与共振敏感性分析</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提取与人致振动密切相关的低阶竖向、横向和扭转模态频率及振型，分析其与单人步行、慢跑、群体同步激励频带之间的对应关系，识别观景平台、停留区及局部变宽区等敏感部位。</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（2）人致荷载模型与工况设置</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结合桥梁功能定位和使用场景，建立适用于本桥的单人、稀疏人流、密集人流及可能同步激励工况的人致荷载模型，考虑桥面停留、集聚和活动组织等使用特征。</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（3）舒适度分析与限值评价</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计算关键位置竖向和横向加速度响应，依据相关规范、指南及工程经验开展舒适度评价，明确不同运营场景下的控制指标及是否满足服务性能要求。</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（4）横向动力稳定性检验</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针对景观慢行桥可能出现的横向同步振动问题，检验横向低频模态在群体激励下的动力稳定性，评估是否存在锁定放大和服务性能失效风险。</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（5）必要的减振建议</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若舒适度验算结果不满足要求，则结合结构特点、景观要求和实施条件，提出减振装置选型、布置原则及关键参数建议，为后续深化设计预留技术接口。</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2.3 子课题3：桥梁抗震性能研究</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（1）人行桥地震响应分析</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建立考虑索、梁、V墩、支座及边界约束的空间动力有限元模型，开展反应谱分析和时程分析，评估主梁位移、墩梁连接内力、支座反力、索力变化及关键节点应力水平。</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（2）人行桥抗震性能验算</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明确抗震设防标准和性能目标，分析竖向、水平双向地震结构响应的影响，验算结构抗震性能是否满足规范要求。</w:t>
      </w:r>
    </w:p>
    <w:p>
      <w:pPr>
        <w:spacing w:line="560" w:lineRule="exact"/>
        <w:ind w:firstLine="420" w:firstLineChars="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（3）抗震优化及减隔震措施建议</w:t>
      </w:r>
    </w:p>
    <w:p>
      <w:pPr>
        <w:spacing w:line="560" w:lineRule="exact"/>
        <w:ind w:firstLine="640" w:firstLineChars="200"/>
        <w:rPr>
          <w:rFonts w:hint="eastAsia" w:ascii="仿宋_GB2312" w:hAnsi="仿宋_GB2312" w:eastAsia="仿宋_GB2312" w:cs="仿宋_GB2312"/>
          <w:color w:val="auto"/>
          <w:sz w:val="32"/>
          <w:szCs w:val="32"/>
          <w:highlight w:val="none"/>
          <w:shd w:val="clear" w:color="auto" w:fill="auto"/>
          <w:lang w:bidi="ar"/>
        </w:rPr>
      </w:pPr>
      <w:r>
        <w:rPr>
          <w:rFonts w:hint="eastAsia" w:ascii="仿宋_GB2312" w:hAnsi="仿宋_GB2312" w:eastAsia="仿宋_GB2312" w:cs="仿宋_GB2312"/>
          <w:sz w:val="32"/>
          <w:szCs w:val="32"/>
          <w:lang w:bidi="ar"/>
        </w:rPr>
        <w:t>根据地震响应分析和抗震性能验算结果，对支座、限位装置、连接节点及局部构造提出抗震优化和韧性提升建议；必要时开展减隔震装置参数分析，为深化设计和运营安全提供技术支撑。</w:t>
      </w:r>
    </w:p>
    <w:p>
      <w:pPr>
        <w:spacing w:line="560" w:lineRule="exact"/>
        <w:ind w:firstLine="640" w:firstLineChars="200"/>
        <w:rPr>
          <w:rFonts w:hint="eastAsia" w:ascii="标准公文_仿宋" w:hAnsi="标准公文_仿宋" w:eastAsia="标准公文_仿宋" w:cs="标准公文_仿宋"/>
          <w:color w:val="1F2329"/>
          <w:sz w:val="32"/>
          <w:szCs w:val="32"/>
          <w:highlight w:val="none"/>
          <w:shd w:val="clear" w:color="auto" w:fill="FFFFFF"/>
        </w:rPr>
      </w:pPr>
      <w:r>
        <w:rPr>
          <w:rFonts w:hint="eastAsia" w:ascii="黑体" w:hAnsi="黑体" w:eastAsia="黑体" w:cs="黑体"/>
          <w:color w:val="1F2329"/>
          <w:sz w:val="32"/>
          <w:szCs w:val="32"/>
          <w:highlight w:val="none"/>
          <w:shd w:val="clear" w:color="auto" w:fill="FFFFFF"/>
        </w:rPr>
        <w:t>三、人员要求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为满足项目实时性需求，供应商需配置专业、稳定的</w:t>
      </w:r>
      <w:r>
        <w:rPr>
          <w:rFonts w:hint="eastAsia" w:ascii="仿宋_GB2312" w:hAnsi="仿宋_GB2312" w:eastAsia="仿宋_GB2312" w:cs="仿宋_GB2312"/>
          <w:sz w:val="32"/>
          <w:szCs w:val="32"/>
          <w:lang w:val="en-US" w:eastAsia="zh-CN"/>
        </w:rPr>
        <w:t>研究</w:t>
      </w:r>
      <w:r>
        <w:rPr>
          <w:rFonts w:hint="eastAsia" w:ascii="仿宋_GB2312" w:hAnsi="仿宋_GB2312" w:eastAsia="仿宋_GB2312" w:cs="仿宋_GB2312"/>
          <w:sz w:val="32"/>
          <w:szCs w:val="32"/>
        </w:rPr>
        <w:t>团队，且可根据本项目进展及业主需求增派人员，所有人员需服从业主单位管理，具体配置及职责如下：</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1"/>
        <w:gridCol w:w="938"/>
        <w:gridCol w:w="5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51" w:type="dxa"/>
            <w:vAlign w:val="center"/>
          </w:tcPr>
          <w:p>
            <w:pPr>
              <w:spacing w:line="560" w:lineRule="exact"/>
              <w:jc w:val="center"/>
              <w:rPr>
                <w:rFonts w:hint="eastAsia" w:ascii="标准公文_仿宋" w:hAnsi="标准公文_仿宋" w:eastAsia="标准公文_仿宋" w:cs="标准公文_仿宋"/>
                <w:b/>
                <w:bCs/>
                <w:color w:val="1F2329"/>
                <w:sz w:val="32"/>
                <w:szCs w:val="32"/>
                <w:shd w:val="clear" w:color="auto" w:fill="FFFFFF"/>
              </w:rPr>
            </w:pPr>
            <w:r>
              <w:rPr>
                <w:rFonts w:hint="eastAsia" w:ascii="标准公文_仿宋" w:hAnsi="标准公文_仿宋" w:eastAsia="标准公文_仿宋" w:cs="标准公文_仿宋"/>
                <w:b/>
                <w:bCs/>
                <w:color w:val="1F2329"/>
                <w:sz w:val="32"/>
                <w:szCs w:val="32"/>
                <w:shd w:val="clear" w:color="auto" w:fill="FFFFFF"/>
              </w:rPr>
              <w:t>岗位</w:t>
            </w:r>
          </w:p>
        </w:tc>
        <w:tc>
          <w:tcPr>
            <w:tcW w:w="938" w:type="dxa"/>
            <w:vAlign w:val="center"/>
          </w:tcPr>
          <w:p>
            <w:pPr>
              <w:spacing w:line="560" w:lineRule="exact"/>
              <w:jc w:val="center"/>
              <w:rPr>
                <w:rFonts w:hint="eastAsia" w:ascii="标准公文_仿宋" w:hAnsi="标准公文_仿宋" w:eastAsia="标准公文_仿宋" w:cs="标准公文_仿宋"/>
                <w:b/>
                <w:bCs/>
                <w:color w:val="1F2329"/>
                <w:sz w:val="32"/>
                <w:szCs w:val="32"/>
                <w:shd w:val="clear" w:color="auto" w:fill="FFFFFF"/>
              </w:rPr>
            </w:pPr>
            <w:r>
              <w:rPr>
                <w:rFonts w:hint="eastAsia" w:ascii="标准公文_仿宋" w:hAnsi="标准公文_仿宋" w:eastAsia="标准公文_仿宋" w:cs="标准公文_仿宋"/>
                <w:b/>
                <w:bCs/>
                <w:color w:val="1F2329"/>
                <w:sz w:val="32"/>
                <w:szCs w:val="32"/>
                <w:shd w:val="clear" w:color="auto" w:fill="FFFFFF"/>
              </w:rPr>
              <w:t>人数</w:t>
            </w:r>
          </w:p>
        </w:tc>
        <w:tc>
          <w:tcPr>
            <w:tcW w:w="5433" w:type="dxa"/>
            <w:vAlign w:val="center"/>
          </w:tcPr>
          <w:p>
            <w:pPr>
              <w:spacing w:line="560" w:lineRule="exact"/>
              <w:jc w:val="center"/>
              <w:rPr>
                <w:rFonts w:hint="eastAsia" w:ascii="标准公文_仿宋" w:hAnsi="标准公文_仿宋" w:eastAsia="标准公文_仿宋" w:cs="标准公文_仿宋"/>
                <w:b/>
                <w:bCs/>
                <w:color w:val="1F2329"/>
                <w:sz w:val="32"/>
                <w:szCs w:val="32"/>
                <w:shd w:val="clear" w:color="auto" w:fill="FFFFFF"/>
              </w:rPr>
            </w:pPr>
            <w:r>
              <w:rPr>
                <w:rFonts w:hint="eastAsia" w:ascii="标准公文_仿宋" w:hAnsi="标准公文_仿宋" w:eastAsia="标准公文_仿宋" w:cs="标准公文_仿宋"/>
                <w:b/>
                <w:bCs/>
                <w:color w:val="1F2329"/>
                <w:sz w:val="32"/>
                <w:szCs w:val="32"/>
                <w:shd w:val="clear" w:color="auto" w:fill="FFFFFF"/>
              </w:rPr>
              <w:t>专业、资格或业绩要求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51" w:type="dxa"/>
            <w:vAlign w:val="center"/>
          </w:tcPr>
          <w:p>
            <w:pPr>
              <w:spacing w:line="560" w:lineRule="exact"/>
              <w:jc w:val="center"/>
              <w:rPr>
                <w:rFonts w:hint="eastAsia" w:ascii="标准公文_仿宋" w:hAnsi="标准公文_仿宋" w:eastAsia="标准公文_仿宋" w:cs="标准公文_仿宋"/>
                <w:b/>
                <w:bCs/>
                <w:color w:val="1F2329"/>
                <w:sz w:val="32"/>
                <w:szCs w:val="32"/>
                <w:shd w:val="clear" w:color="auto" w:fill="FFFFFF"/>
              </w:rPr>
            </w:pPr>
            <w:r>
              <w:rPr>
                <w:rFonts w:hint="eastAsia" w:ascii="标准公文_仿宋" w:hAnsi="标准公文_仿宋" w:eastAsia="标准公文_仿宋" w:cs="标准公文_仿宋"/>
                <w:b/>
                <w:bCs/>
                <w:color w:val="1F2329"/>
                <w:sz w:val="32"/>
                <w:szCs w:val="32"/>
                <w:shd w:val="clear" w:color="auto" w:fill="FFFFFF"/>
              </w:rPr>
              <w:t>项目负责人</w:t>
            </w:r>
          </w:p>
        </w:tc>
        <w:tc>
          <w:tcPr>
            <w:tcW w:w="938" w:type="dxa"/>
            <w:vAlign w:val="center"/>
          </w:tcPr>
          <w:p>
            <w:pPr>
              <w:spacing w:line="560" w:lineRule="exact"/>
              <w:jc w:val="center"/>
              <w:rPr>
                <w:rFonts w:hint="eastAsia" w:ascii="标准公文_仿宋" w:hAnsi="标准公文_仿宋" w:eastAsia="标准公文_仿宋" w:cs="标准公文_仿宋"/>
                <w:b/>
                <w:bCs/>
                <w:color w:val="1F2329"/>
                <w:sz w:val="32"/>
                <w:szCs w:val="32"/>
                <w:shd w:val="clear" w:color="auto" w:fill="FFFFFF"/>
              </w:rPr>
            </w:pPr>
            <w:r>
              <w:rPr>
                <w:rFonts w:hint="eastAsia" w:ascii="标准公文_仿宋" w:hAnsi="标准公文_仿宋" w:eastAsia="标准公文_仿宋" w:cs="标准公文_仿宋"/>
                <w:b/>
                <w:bCs/>
                <w:color w:val="1F2329"/>
                <w:sz w:val="32"/>
                <w:szCs w:val="32"/>
                <w:shd w:val="clear" w:color="auto" w:fill="FFFFFF"/>
              </w:rPr>
              <w:t>1名</w:t>
            </w:r>
          </w:p>
        </w:tc>
        <w:tc>
          <w:tcPr>
            <w:tcW w:w="5433" w:type="dxa"/>
            <w:vAlign w:val="center"/>
          </w:tcPr>
          <w:p>
            <w:pPr>
              <w:pStyle w:val="23"/>
              <w:widowControl w:val="0"/>
              <w:jc w:val="both"/>
              <w:rPr>
                <w:rFonts w:hint="eastAsia" w:ascii="仿宋_GB2312" w:hAnsi="仿宋_GB2312" w:eastAsia="仿宋_GB2312" w:cs="仿宋_GB2312"/>
                <w:color w:val="1F2329"/>
                <w:sz w:val="32"/>
                <w:szCs w:val="32"/>
                <w:shd w:val="clear" w:color="auto" w:fill="FFFFFF"/>
                <w:lang w:eastAsia="zh-CN"/>
              </w:rPr>
            </w:pPr>
            <w:r>
              <w:rPr>
                <w:rFonts w:hint="eastAsia" w:ascii="仿宋_GB2312" w:hAnsi="仿宋_GB2312" w:eastAsia="仿宋_GB2312" w:cs="仿宋_GB2312"/>
                <w:color w:val="1F2329"/>
                <w:sz w:val="32"/>
                <w:szCs w:val="32"/>
                <w:shd w:val="clear" w:color="auto" w:fill="FFFFFF"/>
                <w:lang w:eastAsia="zh-CN"/>
              </w:rPr>
              <w:t>（1）具有工程系列或科研系列副高级及以上职称（高级工程师或副教授或副研究员），或者博士学位；</w:t>
            </w:r>
          </w:p>
          <w:p>
            <w:pPr>
              <w:pStyle w:val="23"/>
              <w:widowControl w:val="0"/>
              <w:jc w:val="both"/>
              <w:rPr>
                <w:rFonts w:hint="eastAsia" w:ascii="标准公文_仿宋" w:hAnsi="标准公文_仿宋" w:eastAsia="标准公文_仿宋" w:cs="标准公文_仿宋"/>
                <w:color w:val="1F2329"/>
                <w:sz w:val="28"/>
                <w:szCs w:val="28"/>
                <w:shd w:val="clear" w:color="auto" w:fill="FFFFFF"/>
              </w:rPr>
            </w:pPr>
            <w:r>
              <w:rPr>
                <w:rFonts w:hint="eastAsia" w:ascii="仿宋_GB2312" w:hAnsi="仿宋_GB2312" w:eastAsia="仿宋_GB2312" w:cs="仿宋_GB2312"/>
                <w:color w:val="1F2329"/>
                <w:sz w:val="32"/>
                <w:szCs w:val="32"/>
                <w:shd w:val="clear" w:color="auto" w:fill="FFFFFF"/>
                <w:lang w:eastAsia="zh-CN"/>
              </w:rPr>
              <w:t>（2）主持过结构抗震分析或结构抗风分析相关项目。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51" w:type="dxa"/>
            <w:vAlign w:val="center"/>
          </w:tcPr>
          <w:p>
            <w:pPr>
              <w:spacing w:line="560" w:lineRule="exact"/>
              <w:jc w:val="center"/>
              <w:rPr>
                <w:rFonts w:hint="eastAsia" w:ascii="标准公文_仿宋" w:hAnsi="标准公文_仿宋" w:eastAsia="标准公文_仿宋" w:cs="标准公文_仿宋"/>
                <w:b/>
                <w:bCs/>
                <w:color w:val="1F2329"/>
                <w:sz w:val="32"/>
                <w:szCs w:val="32"/>
                <w:shd w:val="clear" w:color="auto" w:fill="FFFFFF"/>
              </w:rPr>
            </w:pPr>
            <w:r>
              <w:rPr>
                <w:rFonts w:hint="eastAsia" w:ascii="标准公文_仿宋" w:hAnsi="标准公文_仿宋" w:eastAsia="标准公文_仿宋" w:cs="标准公文_仿宋"/>
                <w:b/>
                <w:bCs/>
                <w:color w:val="1F2329"/>
                <w:sz w:val="32"/>
                <w:szCs w:val="32"/>
                <w:shd w:val="clear" w:color="auto" w:fill="FFFFFF"/>
              </w:rPr>
              <w:t>技术负责人</w:t>
            </w:r>
          </w:p>
        </w:tc>
        <w:tc>
          <w:tcPr>
            <w:tcW w:w="938" w:type="dxa"/>
            <w:vAlign w:val="center"/>
          </w:tcPr>
          <w:p>
            <w:pPr>
              <w:spacing w:line="560" w:lineRule="exact"/>
              <w:jc w:val="center"/>
              <w:rPr>
                <w:rFonts w:hint="eastAsia" w:ascii="标准公文_仿宋" w:hAnsi="标准公文_仿宋" w:eastAsia="标准公文_仿宋" w:cs="标准公文_仿宋"/>
                <w:b/>
                <w:bCs/>
                <w:color w:val="1F2329"/>
                <w:sz w:val="32"/>
                <w:szCs w:val="32"/>
                <w:shd w:val="clear" w:color="auto" w:fill="FFFFFF"/>
              </w:rPr>
            </w:pPr>
            <w:r>
              <w:rPr>
                <w:rFonts w:hint="eastAsia" w:ascii="标准公文_仿宋" w:hAnsi="标准公文_仿宋" w:eastAsia="标准公文_仿宋" w:cs="标准公文_仿宋"/>
                <w:b/>
                <w:bCs/>
                <w:color w:val="1F2329"/>
                <w:sz w:val="32"/>
                <w:szCs w:val="32"/>
                <w:shd w:val="clear" w:color="auto" w:fill="FFFFFF"/>
              </w:rPr>
              <w:t>1名</w:t>
            </w:r>
          </w:p>
        </w:tc>
        <w:tc>
          <w:tcPr>
            <w:tcW w:w="5433" w:type="dxa"/>
          </w:tcPr>
          <w:p>
            <w:pPr>
              <w:pStyle w:val="23"/>
              <w:widowControl w:val="0"/>
              <w:jc w:val="both"/>
              <w:rPr>
                <w:rFonts w:ascii="仿宋_GB2312" w:hAnsi="仿宋_GB2312" w:eastAsia="仿宋_GB2312" w:cs="仿宋_GB2312"/>
                <w:color w:val="1F2329"/>
                <w:kern w:val="0"/>
                <w:sz w:val="32"/>
                <w:szCs w:val="32"/>
                <w:shd w:val="clear" w:color="auto" w:fill="FFFFFF"/>
                <w:lang w:eastAsia="zh-CN"/>
              </w:rPr>
            </w:pPr>
            <w:r>
              <w:rPr>
                <w:rFonts w:ascii="仿宋_GB2312" w:hAnsi="仿宋_GB2312" w:eastAsia="仿宋_GB2312" w:cs="仿宋_GB2312"/>
                <w:color w:val="1F2329"/>
                <w:kern w:val="0"/>
                <w:sz w:val="32"/>
                <w:szCs w:val="32"/>
                <w:shd w:val="clear" w:color="auto" w:fill="FFFFFF"/>
                <w:lang w:eastAsia="zh-CN"/>
              </w:rPr>
              <w:t>（1）具有</w:t>
            </w:r>
            <w:r>
              <w:rPr>
                <w:rFonts w:hint="eastAsia" w:ascii="仿宋_GB2312" w:hAnsi="仿宋_GB2312" w:eastAsia="仿宋_GB2312" w:cs="仿宋_GB2312"/>
                <w:color w:val="1F2329"/>
                <w:sz w:val="32"/>
                <w:szCs w:val="32"/>
                <w:shd w:val="clear" w:color="auto" w:fill="FFFFFF"/>
              </w:rPr>
              <w:t>工程系列或科研系列副高级及以上职称（高级工程师或副教授或副研究员）</w:t>
            </w:r>
            <w:r>
              <w:rPr>
                <w:rFonts w:ascii="仿宋_GB2312" w:hAnsi="仿宋_GB2312" w:eastAsia="仿宋_GB2312" w:cs="仿宋_GB2312"/>
                <w:color w:val="1F2329"/>
                <w:kern w:val="0"/>
                <w:sz w:val="32"/>
                <w:szCs w:val="32"/>
                <w:shd w:val="clear" w:color="auto" w:fill="FFFFFF"/>
                <w:lang w:eastAsia="zh-CN"/>
              </w:rPr>
              <w:t>；</w:t>
            </w:r>
          </w:p>
          <w:p>
            <w:pPr>
              <w:pStyle w:val="23"/>
              <w:widowControl w:val="0"/>
              <w:jc w:val="both"/>
              <w:rPr>
                <w:rFonts w:ascii="标准公文_仿宋" w:hAnsi="标准公文_仿宋" w:eastAsia="标准公文_仿宋" w:cs="标准公文_仿宋"/>
                <w:color w:val="1F2329"/>
                <w:kern w:val="2"/>
                <w:sz w:val="28"/>
                <w:szCs w:val="28"/>
                <w:shd w:val="clear" w:color="auto" w:fill="FFFFFF"/>
                <w:lang w:eastAsia="zh-CN"/>
              </w:rPr>
            </w:pPr>
            <w:r>
              <w:rPr>
                <w:rFonts w:ascii="仿宋_GB2312" w:hAnsi="仿宋_GB2312" w:eastAsia="仿宋_GB2312" w:cs="仿宋_GB2312"/>
                <w:color w:val="1F2329"/>
                <w:kern w:val="0"/>
                <w:sz w:val="32"/>
                <w:szCs w:val="32"/>
                <w:shd w:val="clear" w:color="auto" w:fill="FFFFFF"/>
                <w:lang w:eastAsia="zh-CN"/>
              </w:rPr>
              <w:t>（2）主持或参与过结构抗震分析或结构抗风分析相关项目。</w:t>
            </w:r>
          </w:p>
        </w:tc>
      </w:tr>
    </w:tbl>
    <w:p>
      <w:pPr>
        <w:spacing w:line="560" w:lineRule="exact"/>
        <w:ind w:firstLine="640" w:firstLineChars="200"/>
        <w:rPr>
          <w:rFonts w:hint="eastAsia" w:ascii="黑体" w:hAnsi="黑体" w:eastAsia="黑体" w:cs="黑体"/>
          <w:color w:val="1F2329"/>
          <w:sz w:val="32"/>
          <w:szCs w:val="32"/>
          <w:highlight w:val="none"/>
          <w:shd w:val="clear" w:color="auto" w:fill="FFFFFF"/>
        </w:rPr>
      </w:pPr>
      <w:r>
        <w:rPr>
          <w:rFonts w:hint="eastAsia" w:ascii="黑体" w:hAnsi="黑体" w:eastAsia="黑体" w:cs="黑体"/>
          <w:color w:val="1F2329"/>
          <w:sz w:val="32"/>
          <w:szCs w:val="32"/>
          <w:highlight w:val="none"/>
          <w:shd w:val="clear" w:color="auto" w:fill="FFFFFF"/>
        </w:rPr>
        <w:t>四、时间要求服务期限</w:t>
      </w:r>
    </w:p>
    <w:p>
      <w:pPr>
        <w:spacing w:line="56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服务期限自合同签订之日起至项目结题验收完成之日止</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lang w:val="en-US" w:eastAsia="zh-CN"/>
        </w:rPr>
        <w:t>工作周期不得超过三个月</w:t>
      </w:r>
      <w:r>
        <w:rPr>
          <w:rFonts w:hint="eastAsia" w:ascii="仿宋_GB2312" w:hAnsi="仿宋_GB2312" w:eastAsia="仿宋_GB2312" w:cs="仿宋_GB2312"/>
          <w:sz w:val="32"/>
          <w:szCs w:val="32"/>
          <w:shd w:val="clear" w:color="auto" w:fill="FFFFFF"/>
        </w:rPr>
        <w:t>。</w:t>
      </w:r>
      <w:bookmarkStart w:id="0" w:name="OLE_LINK1"/>
      <w:r>
        <w:rPr>
          <w:rFonts w:hint="eastAsia" w:ascii="仿宋_GB2312" w:hAnsi="仿宋_GB2312" w:eastAsia="仿宋_GB2312" w:cs="仿宋_GB2312"/>
          <w:sz w:val="32"/>
          <w:szCs w:val="32"/>
          <w:shd w:val="clear" w:color="auto" w:fill="FFFFFF"/>
          <w:lang w:val="en-US" w:eastAsia="zh-CN"/>
        </w:rPr>
        <w:t>投标人</w:t>
      </w:r>
      <w:r>
        <w:rPr>
          <w:rFonts w:hint="eastAsia" w:ascii="仿宋_GB2312" w:hAnsi="仿宋_GB2312" w:eastAsia="仿宋_GB2312" w:cs="仿宋_GB2312"/>
          <w:sz w:val="32"/>
          <w:szCs w:val="32"/>
          <w:shd w:val="clear" w:color="auto" w:fill="FFFFFF"/>
        </w:rPr>
        <w:t>应</w:t>
      </w:r>
      <w:r>
        <w:rPr>
          <w:rFonts w:hint="eastAsia" w:ascii="仿宋_GB2312" w:hAnsi="仿宋_GB2312" w:eastAsia="仿宋_GB2312" w:cs="仿宋_GB2312"/>
          <w:sz w:val="32"/>
          <w:szCs w:val="32"/>
          <w:shd w:val="clear" w:color="auto" w:fill="FFFFFF"/>
          <w:lang w:val="en-US" w:eastAsia="zh-CN"/>
        </w:rPr>
        <w:t>具备</w:t>
      </w:r>
      <w:r>
        <w:rPr>
          <w:rFonts w:hint="eastAsia" w:ascii="仿宋_GB2312" w:hAnsi="仿宋_GB2312" w:eastAsia="仿宋_GB2312" w:cs="仿宋_GB2312"/>
          <w:sz w:val="32"/>
          <w:szCs w:val="32"/>
          <w:shd w:val="clear" w:color="auto" w:fill="FFFFFF"/>
        </w:rPr>
        <w:t>工期安排及保证措施</w:t>
      </w:r>
      <w:r>
        <w:rPr>
          <w:rFonts w:hint="eastAsia" w:ascii="仿宋_GB2312" w:hAnsi="仿宋_GB2312" w:eastAsia="仿宋_GB2312" w:cs="仿宋_GB2312"/>
          <w:sz w:val="32"/>
          <w:szCs w:val="32"/>
          <w:shd w:val="clear" w:color="auto" w:fill="FFFFFF"/>
          <w:lang w:val="en-US" w:eastAsia="zh-CN"/>
        </w:rPr>
        <w:t>和</w:t>
      </w:r>
      <w:r>
        <w:rPr>
          <w:rFonts w:hint="eastAsia" w:ascii="仿宋_GB2312" w:hAnsi="仿宋_GB2312" w:eastAsia="仿宋_GB2312" w:cs="仿宋_GB2312"/>
          <w:sz w:val="32"/>
          <w:szCs w:val="32"/>
          <w:shd w:val="clear" w:color="auto" w:fill="FFFFFF"/>
        </w:rPr>
        <w:t>人员管理方案及质量、进度</w:t>
      </w:r>
      <w:bookmarkStart w:id="1" w:name="_GoBack"/>
      <w:bookmarkEnd w:id="1"/>
      <w:r>
        <w:rPr>
          <w:rFonts w:hint="eastAsia" w:ascii="仿宋_GB2312" w:hAnsi="仿宋_GB2312" w:eastAsia="仿宋_GB2312" w:cs="仿宋_GB2312"/>
          <w:sz w:val="32"/>
          <w:szCs w:val="32"/>
          <w:shd w:val="clear" w:color="auto" w:fill="FFFFFF"/>
        </w:rPr>
        <w:t>后续服务的保证措施</w:t>
      </w:r>
      <w:r>
        <w:rPr>
          <w:rFonts w:hint="eastAsia" w:ascii="仿宋_GB2312" w:hAnsi="仿宋_GB2312" w:eastAsia="仿宋_GB2312" w:cs="仿宋_GB2312"/>
          <w:sz w:val="32"/>
          <w:szCs w:val="32"/>
          <w:shd w:val="clear" w:color="auto" w:fill="FFFFFF"/>
          <w:lang w:val="en-US" w:eastAsia="zh-CN"/>
        </w:rPr>
        <w:t>等，确保</w:t>
      </w:r>
      <w:bookmarkEnd w:id="0"/>
      <w:r>
        <w:rPr>
          <w:rFonts w:hint="eastAsia" w:ascii="仿宋_GB2312" w:hAnsi="仿宋_GB2312" w:eastAsia="仿宋_GB2312" w:cs="仿宋_GB2312"/>
          <w:sz w:val="32"/>
          <w:szCs w:val="32"/>
          <w:shd w:val="clear" w:color="auto" w:fill="FFFFFF"/>
        </w:rPr>
        <w:t>根据项目设计进度要求提交阶段性成果和最终成果，具体时间节点以合同约定及经</w:t>
      </w:r>
      <w:r>
        <w:rPr>
          <w:rFonts w:hint="eastAsia" w:ascii="仿宋_GB2312" w:hAnsi="仿宋_GB2312" w:eastAsia="仿宋_GB2312" w:cs="仿宋_GB2312"/>
          <w:sz w:val="32"/>
          <w:szCs w:val="32"/>
          <w:shd w:val="clear" w:color="auto" w:fill="FFFFFF"/>
          <w:lang w:eastAsia="zh-CN"/>
        </w:rPr>
        <w:t>采购人</w:t>
      </w:r>
      <w:r>
        <w:rPr>
          <w:rFonts w:hint="eastAsia" w:ascii="仿宋_GB2312" w:hAnsi="仿宋_GB2312" w:eastAsia="仿宋_GB2312" w:cs="仿宋_GB2312"/>
          <w:sz w:val="32"/>
          <w:szCs w:val="32"/>
          <w:shd w:val="clear" w:color="auto" w:fill="FFFFFF"/>
        </w:rPr>
        <w:t>确认的研究工作计划为准。</w:t>
      </w:r>
    </w:p>
    <w:p>
      <w:pPr>
        <w:spacing w:line="560" w:lineRule="exact"/>
        <w:ind w:firstLine="640" w:firstLineChars="200"/>
        <w:rPr>
          <w:rFonts w:hint="eastAsia" w:ascii="标准公文_仿宋" w:hAnsi="标准公文_仿宋" w:eastAsia="黑体" w:cs="标准公文_仿宋"/>
          <w:sz w:val="32"/>
          <w:szCs w:val="32"/>
          <w:highlight w:val="none"/>
          <w:shd w:val="clear" w:color="auto" w:fill="FFFFFF"/>
        </w:rPr>
      </w:pPr>
      <w:r>
        <w:rPr>
          <w:rFonts w:hint="eastAsia" w:ascii="黑体" w:hAnsi="黑体" w:eastAsia="黑体" w:cs="黑体"/>
          <w:sz w:val="32"/>
          <w:szCs w:val="32"/>
          <w:highlight w:val="none"/>
          <w:shd w:val="clear" w:color="auto" w:fill="FFFFFF"/>
        </w:rPr>
        <w:t>五、项目预算</w:t>
      </w:r>
    </w:p>
    <w:p>
      <w:pPr>
        <w:spacing w:line="560" w:lineRule="exact"/>
        <w:ind w:firstLine="640" w:firstLineChars="200"/>
        <w:rPr>
          <w:rFonts w:hint="eastAsia" w:ascii="黑体" w:hAnsi="黑体" w:eastAsia="黑体" w:cs="黑体"/>
          <w:color w:val="1F2329"/>
          <w:sz w:val="32"/>
          <w:szCs w:val="32"/>
          <w:highlight w:val="yellow"/>
          <w:shd w:val="clear" w:color="auto" w:fill="FFFFFF"/>
        </w:rPr>
      </w:pPr>
      <w:r>
        <w:rPr>
          <w:rFonts w:hint="eastAsia" w:ascii="仿宋_GB2312" w:hAnsi="仿宋_GB2312" w:eastAsia="仿宋_GB2312" w:cs="仿宋_GB2312"/>
          <w:sz w:val="32"/>
          <w:szCs w:val="32"/>
          <w:shd w:val="clear" w:color="auto" w:fill="FFFFFF"/>
        </w:rPr>
        <w:t>本项目预算金额为</w:t>
      </w:r>
      <w:r>
        <w:rPr>
          <w:rFonts w:hint="eastAsia" w:ascii="仿宋_GB2312" w:hAnsi="仿宋_GB2312" w:eastAsia="仿宋_GB2312" w:cs="仿宋_GB2312"/>
          <w:sz w:val="32"/>
          <w:szCs w:val="32"/>
          <w:shd w:val="clear" w:color="auto" w:fill="FFFFFF"/>
          <w:lang w:val="en-US" w:eastAsia="zh-CN"/>
        </w:rPr>
        <w:t>95</w:t>
      </w:r>
      <w:r>
        <w:rPr>
          <w:rFonts w:hint="eastAsia" w:ascii="仿宋_GB2312" w:hAnsi="仿宋_GB2312" w:eastAsia="仿宋_GB2312" w:cs="仿宋_GB2312"/>
          <w:sz w:val="32"/>
          <w:szCs w:val="32"/>
          <w:shd w:val="clear" w:color="auto" w:fill="FFFFFF"/>
        </w:rPr>
        <w:t>0</w:t>
      </w:r>
      <w:r>
        <w:rPr>
          <w:rFonts w:hint="eastAsia" w:ascii="仿宋_GB2312" w:hAnsi="仿宋_GB2312" w:eastAsia="仿宋_GB2312" w:cs="仿宋_GB2312"/>
          <w:sz w:val="32"/>
          <w:szCs w:val="32"/>
          <w:shd w:val="clear" w:color="auto" w:fill="FFFFFF"/>
          <w:lang w:val="en-US" w:eastAsia="zh-CN"/>
        </w:rPr>
        <w:t>,</w:t>
      </w:r>
      <w:r>
        <w:rPr>
          <w:rFonts w:hint="eastAsia" w:ascii="仿宋_GB2312" w:hAnsi="仿宋_GB2312" w:eastAsia="仿宋_GB2312" w:cs="仿宋_GB2312"/>
          <w:sz w:val="32"/>
          <w:szCs w:val="32"/>
          <w:shd w:val="clear" w:color="auto" w:fill="FFFFFF"/>
        </w:rPr>
        <w:t>000.00元，包括但不限于完成本项目专题研究服务（1.桥梁抗风性能研究；2.桥梁人致振动分析与舒适度评价；3.桥梁抗震性能研究）的全部费用，具体包括：人力成本、设备购置及使用费、管理费、招标代理费（如有）、专家评审劳务费（如有）、差旅费、交通费、资料编制、打印费以及调研费、利润、间接费、管理费、税金等所有与本项目实施相关的开支，供应商需按需求书要求及合同约定完成全部专题研究服务工作并提交最终成果。</w:t>
      </w:r>
    </w:p>
    <w:p>
      <w:pPr>
        <w:spacing w:line="560" w:lineRule="exact"/>
        <w:ind w:firstLine="640" w:firstLineChars="200"/>
        <w:rPr>
          <w:rFonts w:hint="eastAsia" w:ascii="标准公文_仿宋" w:hAnsi="标准公文_仿宋" w:eastAsia="黑体" w:cs="标准公文_仿宋"/>
          <w:color w:val="1F2329"/>
          <w:sz w:val="32"/>
          <w:szCs w:val="32"/>
          <w:highlight w:val="none"/>
          <w:shd w:val="clear" w:color="auto" w:fill="FFFFFF"/>
        </w:rPr>
      </w:pPr>
      <w:r>
        <w:rPr>
          <w:rFonts w:hint="eastAsia" w:ascii="黑体" w:hAnsi="黑体" w:eastAsia="黑体" w:cs="黑体"/>
          <w:color w:val="1F2329"/>
          <w:sz w:val="32"/>
          <w:szCs w:val="32"/>
          <w:highlight w:val="none"/>
          <w:shd w:val="clear" w:color="auto" w:fill="FFFFFF"/>
        </w:rPr>
        <w:t>六、供应商资格条件及要求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1F2329"/>
          <w:spacing w:val="0"/>
          <w:sz w:val="32"/>
          <w:szCs w:val="32"/>
          <w:highlight w:val="none"/>
          <w:shd w:val="clear" w:fill="FFFFFF"/>
          <w:lang w:val="en-US" w:eastAsia="zh-CN"/>
        </w:rPr>
      </w:pPr>
      <w:r>
        <w:rPr>
          <w:rFonts w:hint="eastAsia" w:ascii="仿宋_GB2312" w:hAnsi="仿宋_GB2312" w:eastAsia="仿宋_GB2312" w:cs="仿宋_GB2312"/>
          <w:i w:val="0"/>
          <w:iCs w:val="0"/>
          <w:caps w:val="0"/>
          <w:color w:val="1F2329"/>
          <w:spacing w:val="0"/>
          <w:sz w:val="32"/>
          <w:szCs w:val="32"/>
          <w:highlight w:val="none"/>
          <w:shd w:val="clear" w:fill="FFFFFF"/>
        </w:rPr>
        <w:t>1.具备独立法人资格，</w:t>
      </w:r>
      <w:r>
        <w:rPr>
          <w:rFonts w:hint="eastAsia" w:ascii="仿宋_GB2312" w:hAnsi="仿宋_GB2312" w:eastAsia="仿宋_GB2312" w:cs="仿宋_GB2312"/>
          <w:i w:val="0"/>
          <w:iCs w:val="0"/>
          <w:caps w:val="0"/>
          <w:color w:val="1F2329"/>
          <w:spacing w:val="0"/>
          <w:sz w:val="32"/>
          <w:szCs w:val="32"/>
          <w:highlight w:val="none"/>
          <w:shd w:val="clear" w:fill="FFFFFF"/>
          <w:lang w:val="en-US" w:eastAsia="zh-CN"/>
        </w:rPr>
        <w:t>中国境内企业须提供在中华人民共和国境内注册的法人或其他组织的营业执照或事业单位法人证书或社会团体法人登记证书复印件</w:t>
      </w:r>
      <w:r>
        <w:rPr>
          <w:rFonts w:hint="eastAsia" w:ascii="仿宋_GB2312" w:hAnsi="仿宋_GB2312" w:eastAsia="仿宋_GB2312" w:cs="仿宋_GB2312"/>
          <w:i w:val="0"/>
          <w:iCs w:val="0"/>
          <w:caps w:val="0"/>
          <w:color w:val="1F2329"/>
          <w:spacing w:val="0"/>
          <w:sz w:val="32"/>
          <w:szCs w:val="32"/>
          <w:highlight w:val="none"/>
          <w:shd w:val="clear" w:fill="FFFFFF"/>
          <w:lang w:eastAsia="zh-CN"/>
        </w:rPr>
        <w:t>；</w:t>
      </w:r>
      <w:r>
        <w:rPr>
          <w:rFonts w:hint="eastAsia" w:ascii="仿宋_GB2312" w:hAnsi="仿宋_GB2312" w:eastAsia="仿宋_GB2312" w:cs="仿宋_GB2312"/>
          <w:i w:val="0"/>
          <w:iCs w:val="0"/>
          <w:caps w:val="0"/>
          <w:spacing w:val="0"/>
          <w:sz w:val="32"/>
          <w:szCs w:val="32"/>
          <w:highlight w:val="none"/>
          <w:shd w:val="clear"/>
        </w:rPr>
        <w:t>港澳</w:t>
      </w:r>
      <w:r>
        <w:rPr>
          <w:rFonts w:hint="eastAsia" w:ascii="仿宋_GB2312" w:hAnsi="仿宋_GB2312" w:eastAsia="仿宋_GB2312" w:cs="仿宋_GB2312"/>
          <w:i w:val="0"/>
          <w:iCs w:val="0"/>
          <w:caps w:val="0"/>
          <w:spacing w:val="0"/>
          <w:sz w:val="32"/>
          <w:szCs w:val="32"/>
          <w:highlight w:val="none"/>
          <w:shd w:val="clear"/>
          <w:lang w:val="en-US" w:eastAsia="zh-CN"/>
        </w:rPr>
        <w:t>供应商</w:t>
      </w:r>
      <w:r>
        <w:rPr>
          <w:rFonts w:hint="eastAsia" w:ascii="仿宋_GB2312" w:hAnsi="仿宋_GB2312" w:eastAsia="仿宋_GB2312" w:cs="仿宋_GB2312"/>
          <w:i w:val="0"/>
          <w:iCs w:val="0"/>
          <w:caps w:val="0"/>
          <w:spacing w:val="0"/>
          <w:sz w:val="32"/>
          <w:szCs w:val="32"/>
          <w:highlight w:val="none"/>
          <w:shd w:val="clear"/>
        </w:rPr>
        <w:t>提供有效期内的商业登记证明(澳门的由澳门商业及动产登记局发出、香港的由香港税务局发出)或证明书（澳门的澳门身份证明局发出、香港社团登记由香港警务署发出）</w:t>
      </w:r>
      <w:r>
        <w:rPr>
          <w:rFonts w:hint="eastAsia" w:ascii="仿宋_GB2312" w:hAnsi="仿宋_GB2312" w:eastAsia="仿宋_GB2312" w:cs="仿宋_GB2312"/>
          <w:i w:val="0"/>
          <w:iCs w:val="0"/>
          <w:caps w:val="0"/>
          <w:color w:val="1F2329"/>
          <w:spacing w:val="0"/>
          <w:sz w:val="32"/>
          <w:szCs w:val="32"/>
          <w:highlight w:val="none"/>
          <w:shd w:val="clear" w:fill="FFFFFF"/>
          <w:lang w:val="en-US" w:eastAsia="zh-CN"/>
        </w:rPr>
        <w:t>。</w:t>
      </w:r>
    </w:p>
    <w:p>
      <w:pPr>
        <w:numPr>
          <w:ilvl w:val="0"/>
          <w:numId w:val="0"/>
        </w:numPr>
        <w:spacing w:line="560" w:lineRule="exact"/>
        <w:ind w:firstLine="640" w:firstLineChars="200"/>
        <w:rPr>
          <w:rFonts w:hint="eastAsia" w:ascii="仿宋_GB2312" w:hAnsi="仿宋_GB2312" w:eastAsia="仿宋_GB2312" w:cs="仿宋_GB2312"/>
          <w:color w:val="1F2329"/>
          <w:sz w:val="32"/>
          <w:szCs w:val="32"/>
          <w:highlight w:val="none"/>
          <w:shd w:val="clear" w:fill="FFFFFF"/>
          <w:lang w:val="en-US" w:eastAsia="zh-CN"/>
        </w:rPr>
      </w:pPr>
      <w:r>
        <w:rPr>
          <w:rFonts w:hint="eastAsia" w:ascii="仿宋_GB2312" w:hAnsi="仿宋_GB2312" w:eastAsia="仿宋_GB2312" w:cs="仿宋_GB2312"/>
          <w:i w:val="0"/>
          <w:iCs w:val="0"/>
          <w:caps w:val="0"/>
          <w:color w:val="1F2329"/>
          <w:spacing w:val="0"/>
          <w:sz w:val="32"/>
          <w:szCs w:val="32"/>
          <w:highlight w:val="none"/>
          <w:shd w:val="clear" w:fill="FFFFFF"/>
        </w:rPr>
        <w:t>2.</w:t>
      </w:r>
      <w:r>
        <w:rPr>
          <w:rFonts w:hint="eastAsia" w:ascii="仿宋_GB2312" w:hAnsi="仿宋_GB2312" w:eastAsia="仿宋_GB2312" w:cs="仿宋_GB2312"/>
          <w:color w:val="1F2329"/>
          <w:sz w:val="32"/>
          <w:szCs w:val="32"/>
          <w:highlight w:val="none"/>
          <w:shd w:val="clear" w:fill="FFFFFF"/>
          <w:lang w:val="en-US" w:eastAsia="zh-CN"/>
        </w:rPr>
        <w:t>有依法缴纳税收和社会保障资金的良好记录：投标文件中提供《资格条件承诺函》。</w:t>
      </w:r>
    </w:p>
    <w:p>
      <w:pPr>
        <w:numPr>
          <w:ilvl w:val="0"/>
          <w:numId w:val="0"/>
        </w:numPr>
        <w:spacing w:line="560" w:lineRule="exact"/>
        <w:ind w:firstLine="640" w:firstLineChars="200"/>
        <w:rPr>
          <w:rFonts w:hint="eastAsia" w:ascii="仿宋_GB2312" w:hAnsi="仿宋_GB2312" w:eastAsia="仿宋_GB2312" w:cs="仿宋_GB2312"/>
          <w:color w:val="1F2329"/>
          <w:sz w:val="32"/>
          <w:szCs w:val="32"/>
          <w:highlight w:val="none"/>
          <w:shd w:val="clear" w:fill="FFFFFF"/>
          <w:lang w:val="en-US" w:eastAsia="zh-CN"/>
        </w:rPr>
      </w:pPr>
      <w:r>
        <w:rPr>
          <w:rFonts w:hint="eastAsia" w:ascii="仿宋_GB2312" w:hAnsi="仿宋_GB2312" w:eastAsia="仿宋_GB2312" w:cs="仿宋_GB2312"/>
          <w:color w:val="1F2329"/>
          <w:sz w:val="32"/>
          <w:szCs w:val="32"/>
          <w:highlight w:val="none"/>
          <w:shd w:val="clear" w:fill="FFFFFF"/>
          <w:lang w:val="en-US" w:eastAsia="zh-CN"/>
        </w:rPr>
        <w:t>3.具有良好的商业信誉和健全的财务会计制度：投标文件中提供《资格条件承诺函》。</w:t>
      </w:r>
    </w:p>
    <w:p>
      <w:pPr>
        <w:numPr>
          <w:ilvl w:val="0"/>
          <w:numId w:val="0"/>
        </w:numPr>
        <w:spacing w:line="560" w:lineRule="exact"/>
        <w:ind w:firstLine="640" w:firstLineChars="200"/>
        <w:rPr>
          <w:rFonts w:hint="eastAsia" w:ascii="仿宋_GB2312" w:hAnsi="仿宋_GB2312" w:eastAsia="仿宋_GB2312" w:cs="仿宋_GB2312"/>
          <w:color w:val="1F2329"/>
          <w:sz w:val="32"/>
          <w:szCs w:val="32"/>
          <w:highlight w:val="none"/>
          <w:shd w:val="clear" w:fill="FFFFFF"/>
          <w:lang w:val="en-US" w:eastAsia="zh-CN"/>
        </w:rPr>
      </w:pPr>
      <w:r>
        <w:rPr>
          <w:rFonts w:hint="eastAsia" w:ascii="仿宋_GB2312" w:hAnsi="仿宋_GB2312" w:eastAsia="仿宋_GB2312" w:cs="仿宋_GB2312"/>
          <w:color w:val="1F2329"/>
          <w:sz w:val="32"/>
          <w:szCs w:val="32"/>
          <w:highlight w:val="none"/>
          <w:shd w:val="clear" w:fill="FFFFFF"/>
          <w:lang w:val="en-US" w:eastAsia="zh-CN"/>
        </w:rPr>
        <w:t>4.履行合同所必需的设备和专业技术能力：投标文件中提供《资格条件承诺函》。</w:t>
      </w:r>
    </w:p>
    <w:p>
      <w:pPr>
        <w:spacing w:line="560" w:lineRule="exact"/>
        <w:ind w:firstLine="640" w:firstLineChars="200"/>
        <w:rPr>
          <w:rFonts w:hint="eastAsia" w:ascii="仿宋_GB2312" w:hAnsi="仿宋_GB2312" w:eastAsia="仿宋_GB2312" w:cs="仿宋_GB2312"/>
          <w:color w:val="1F2329"/>
          <w:sz w:val="32"/>
          <w:szCs w:val="32"/>
          <w:shd w:val="clear" w:color="auto" w:fill="FFFFFF"/>
        </w:rPr>
      </w:pPr>
      <w:r>
        <w:rPr>
          <w:rFonts w:hint="eastAsia" w:ascii="仿宋_GB2312" w:hAnsi="仿宋_GB2312" w:eastAsia="仿宋_GB2312" w:cs="仿宋_GB2312"/>
          <w:color w:val="1F2329"/>
          <w:sz w:val="32"/>
          <w:szCs w:val="32"/>
          <w:highlight w:val="none"/>
          <w:shd w:val="clear" w:fill="FFFFFF"/>
          <w:lang w:val="en-US" w:eastAsia="zh-CN"/>
        </w:rPr>
        <w:t>5.</w:t>
      </w:r>
      <w:r>
        <w:rPr>
          <w:rFonts w:hint="eastAsia" w:ascii="仿宋_GB2312" w:hAnsi="仿宋_GB2312" w:eastAsia="仿宋_GB2312" w:cs="仿宋_GB2312"/>
          <w:i w:val="0"/>
          <w:iCs w:val="0"/>
          <w:caps w:val="0"/>
          <w:color w:val="1F2329"/>
          <w:spacing w:val="0"/>
          <w:sz w:val="32"/>
          <w:szCs w:val="32"/>
          <w:highlight w:val="none"/>
          <w:shd w:val="clear" w:fill="FFFFFF"/>
        </w:rPr>
        <w:t>参加采购活动前3年内，在经营活动中没有重大违法记录：</w:t>
      </w:r>
      <w:r>
        <w:rPr>
          <w:rFonts w:hint="eastAsia" w:ascii="仿宋_GB2312" w:hAnsi="仿宋_GB2312" w:eastAsia="仿宋_GB2312" w:cs="仿宋_GB2312"/>
          <w:i w:val="0"/>
          <w:iCs w:val="0"/>
          <w:caps w:val="0"/>
          <w:color w:val="1F2329"/>
          <w:spacing w:val="0"/>
          <w:sz w:val="32"/>
          <w:szCs w:val="32"/>
          <w:highlight w:val="none"/>
          <w:shd w:val="clear" w:fill="FFFFFF"/>
          <w:lang w:val="en-US" w:eastAsia="zh-CN"/>
        </w:rPr>
        <w:t>投标</w:t>
      </w:r>
      <w:r>
        <w:rPr>
          <w:rFonts w:hint="eastAsia" w:ascii="仿宋_GB2312" w:hAnsi="仿宋_GB2312" w:eastAsia="仿宋_GB2312" w:cs="仿宋_GB2312"/>
          <w:i w:val="0"/>
          <w:iCs w:val="0"/>
          <w:caps w:val="0"/>
          <w:color w:val="1F2329"/>
          <w:spacing w:val="0"/>
          <w:sz w:val="32"/>
          <w:szCs w:val="32"/>
          <w:highlight w:val="none"/>
          <w:shd w:val="clear" w:fill="FFFFFF"/>
        </w:rPr>
        <w:t>文件中提供《资格条件承诺函》。</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B9CE88-468E-4074-B0E8-8818D4456E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embedRegular r:id="rId2" w:fontKey="{85C9383A-3966-495F-9317-DC2998AEF487}"/>
  </w:font>
  <w:font w:name="标准公文_小标宋">
    <w:altName w:val="宋体"/>
    <w:panose1 w:val="00000000000000000000"/>
    <w:charset w:val="86"/>
    <w:family w:val="auto"/>
    <w:pitch w:val="default"/>
    <w:sig w:usb0="00000000" w:usb1="00000000" w:usb2="00000000" w:usb3="00000000" w:csb0="20160004" w:csb1="00100000"/>
    <w:embedRegular r:id="rId3" w:fontKey="{19B7BF34-73CD-4163-8D75-F8E5CC77E7A8}"/>
  </w:font>
  <w:font w:name="标准公文_仿宋">
    <w:altName w:val="仿宋"/>
    <w:panose1 w:val="00000000000000000000"/>
    <w:charset w:val="86"/>
    <w:family w:val="auto"/>
    <w:pitch w:val="default"/>
    <w:sig w:usb0="00000000" w:usb1="00000000" w:usb2="00000000" w:usb3="00000000" w:csb0="00040000" w:csb1="00000000"/>
    <w:embedRegular r:id="rId4" w:fontKey="{822B3840-4508-4BE7-A421-D4864D51F3A8}"/>
  </w:font>
  <w:font w:name="仿宋_GB2312">
    <w:panose1 w:val="02010609030101010101"/>
    <w:charset w:val="86"/>
    <w:family w:val="auto"/>
    <w:pitch w:val="default"/>
    <w:sig w:usb0="00000001" w:usb1="080E0000" w:usb2="00000000" w:usb3="00000000" w:csb0="00040000" w:csb1="00000000"/>
    <w:embedRegular r:id="rId5" w:fontKey="{710796D7-2E27-4828-8F3B-A80D3BBE344C}"/>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584"/>
    <w:rsid w:val="003A6106"/>
    <w:rsid w:val="004A6584"/>
    <w:rsid w:val="006A1C5E"/>
    <w:rsid w:val="0084150A"/>
    <w:rsid w:val="00841550"/>
    <w:rsid w:val="00CC5F6D"/>
    <w:rsid w:val="00E26D78"/>
    <w:rsid w:val="07E64C3E"/>
    <w:rsid w:val="080737D2"/>
    <w:rsid w:val="083420E6"/>
    <w:rsid w:val="0E9A3205"/>
    <w:rsid w:val="0F1C65FF"/>
    <w:rsid w:val="12BF301E"/>
    <w:rsid w:val="12CC3339"/>
    <w:rsid w:val="15D35C17"/>
    <w:rsid w:val="17492AC4"/>
    <w:rsid w:val="18DF76FB"/>
    <w:rsid w:val="1E537319"/>
    <w:rsid w:val="21AB1806"/>
    <w:rsid w:val="21CE4D65"/>
    <w:rsid w:val="24032E22"/>
    <w:rsid w:val="25760CB8"/>
    <w:rsid w:val="25CA21CD"/>
    <w:rsid w:val="2C215197"/>
    <w:rsid w:val="2C8B27EC"/>
    <w:rsid w:val="2EDB3C68"/>
    <w:rsid w:val="32D57111"/>
    <w:rsid w:val="33EA1468"/>
    <w:rsid w:val="39200BAE"/>
    <w:rsid w:val="3D635B43"/>
    <w:rsid w:val="3E6A1257"/>
    <w:rsid w:val="415D27C1"/>
    <w:rsid w:val="4218582D"/>
    <w:rsid w:val="43211D6D"/>
    <w:rsid w:val="43B104BA"/>
    <w:rsid w:val="43D43393"/>
    <w:rsid w:val="46F8007D"/>
    <w:rsid w:val="478F1045"/>
    <w:rsid w:val="48AD27AA"/>
    <w:rsid w:val="4AEB147E"/>
    <w:rsid w:val="4D1B2411"/>
    <w:rsid w:val="4E925476"/>
    <w:rsid w:val="52383444"/>
    <w:rsid w:val="553F64DC"/>
    <w:rsid w:val="65C36660"/>
    <w:rsid w:val="690464A8"/>
    <w:rsid w:val="6AB53FAE"/>
    <w:rsid w:val="6D5B490C"/>
    <w:rsid w:val="6E775CD9"/>
    <w:rsid w:val="6E777973"/>
    <w:rsid w:val="6EC200DA"/>
    <w:rsid w:val="6F6C0FBF"/>
    <w:rsid w:val="70FA7F52"/>
    <w:rsid w:val="73065170"/>
    <w:rsid w:val="748864F1"/>
    <w:rsid w:val="7683350B"/>
    <w:rsid w:val="769E2319"/>
    <w:rsid w:val="7F4853E1"/>
    <w:rsid w:val="7FDD7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4">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6">
    <w:name w:val="heading 4"/>
    <w:basedOn w:val="1"/>
    <w:next w:val="1"/>
    <w:link w:val="20"/>
    <w:unhideWhenUsed/>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1"/>
    <w:link w:val="22"/>
    <w:unhideWhenUsed/>
    <w:qFormat/>
    <w:uiPriority w:val="0"/>
    <w:pPr>
      <w:keepNext/>
      <w:keepLines/>
      <w:spacing w:before="280" w:after="290" w:line="372" w:lineRule="auto"/>
      <w:outlineLvl w:val="4"/>
    </w:pPr>
    <w:rPr>
      <w:b/>
      <w:sz w:val="28"/>
    </w:rPr>
  </w:style>
  <w:style w:type="paragraph" w:styleId="8">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link w:val="21"/>
    <w:unhideWhenUsed/>
    <w:qFormat/>
    <w:uiPriority w:val="0"/>
    <w:pPr>
      <w:keepNext/>
      <w:keepLines/>
      <w:spacing w:before="240" w:after="64" w:line="317" w:lineRule="auto"/>
      <w:outlineLvl w:val="6"/>
    </w:pPr>
    <w:rPr>
      <w:b/>
      <w:sz w:val="2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uiPriority w:val="0"/>
    <w:pPr>
      <w:ind w:firstLine="420" w:firstLineChars="200"/>
    </w:pPr>
  </w:style>
  <w:style w:type="paragraph" w:styleId="10">
    <w:name w:val="annotation text"/>
    <w:basedOn w:val="1"/>
    <w:link w:val="26"/>
    <w:qFormat/>
    <w:uiPriority w:val="0"/>
    <w:pPr>
      <w:jc w:val="left"/>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annotation subject"/>
    <w:basedOn w:val="10"/>
    <w:next w:val="10"/>
    <w:link w:val="27"/>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8">
    <w:name w:val="Strong"/>
    <w:basedOn w:val="17"/>
    <w:qFormat/>
    <w:uiPriority w:val="0"/>
    <w:rPr>
      <w:b/>
    </w:rPr>
  </w:style>
  <w:style w:type="character" w:styleId="19">
    <w:name w:val="annotation reference"/>
    <w:basedOn w:val="17"/>
    <w:qFormat/>
    <w:uiPriority w:val="0"/>
    <w:rPr>
      <w:sz w:val="21"/>
      <w:szCs w:val="21"/>
    </w:rPr>
  </w:style>
  <w:style w:type="character" w:customStyle="1" w:styleId="20">
    <w:name w:val="标题 4 字符"/>
    <w:link w:val="6"/>
    <w:qFormat/>
    <w:uiPriority w:val="0"/>
    <w:rPr>
      <w:rFonts w:ascii="Arial" w:hAnsi="Arial" w:eastAsia="黑体"/>
      <w:b/>
      <w:sz w:val="28"/>
    </w:rPr>
  </w:style>
  <w:style w:type="character" w:customStyle="1" w:styleId="21">
    <w:name w:val="标题 7 字符"/>
    <w:link w:val="9"/>
    <w:qFormat/>
    <w:uiPriority w:val="0"/>
    <w:rPr>
      <w:b/>
      <w:sz w:val="24"/>
    </w:rPr>
  </w:style>
  <w:style w:type="character" w:customStyle="1" w:styleId="22">
    <w:name w:val="标题 5 字符"/>
    <w:link w:val="7"/>
    <w:qFormat/>
    <w:uiPriority w:val="0"/>
    <w:rPr>
      <w:b/>
      <w:sz w:val="28"/>
    </w:rPr>
  </w:style>
  <w:style w:type="paragraph" w:customStyle="1" w:styleId="23">
    <w:name w:val="null3"/>
    <w:hidden/>
    <w:qFormat/>
    <w:uiPriority w:val="0"/>
    <w:rPr>
      <w:rFonts w:hint="eastAsia" w:asciiTheme="minorHAnsi" w:hAnsiTheme="minorHAnsi" w:eastAsiaTheme="minorEastAsia" w:cstheme="minorBidi"/>
      <w:lang w:val="en-US" w:eastAsia="zh-Hans" w:bidi="ar-SA"/>
    </w:rPr>
  </w:style>
  <w:style w:type="paragraph" w:customStyle="1" w:styleId="24">
    <w:name w:val="正文_6_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6">
    <w:name w:val="批注文字 字符"/>
    <w:basedOn w:val="17"/>
    <w:link w:val="10"/>
    <w:qFormat/>
    <w:uiPriority w:val="0"/>
    <w:rPr>
      <w:rFonts w:asciiTheme="minorHAnsi" w:hAnsiTheme="minorHAnsi" w:eastAsiaTheme="minorEastAsia" w:cstheme="minorBidi"/>
      <w:kern w:val="2"/>
      <w:sz w:val="21"/>
      <w:szCs w:val="24"/>
    </w:rPr>
  </w:style>
  <w:style w:type="character" w:customStyle="1" w:styleId="27">
    <w:name w:val="批注主题 字符"/>
    <w:basedOn w:val="26"/>
    <w:link w:val="14"/>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309f92a0-bcc6-4f8c-beb2-b10247a2de10</errorID>
      <errorWord>﹑</errorWord>
      <group>L1_Word</group>
      <groupName>字词问题</groupName>
      <ability>L2_Typo</ability>
      <abilityName>字词错误</abilityName>
      <candidateList>
        <item>、</item>
      </candidateList>
      <explain/>
      <paraID>61F65C36</paraID>
      <start>49</start>
      <end>50</end>
      <status>unmodified</status>
      <modifiedWord/>
      <trackRevisions>false</trackRevisions>
    </reviewItem>
    <reviewItem>
      <errorID>78c81bc1-4d93-488a-95eb-4f6d780bd01b</errorID>
      <errorWord>支承体系</errorWord>
      <group>L1_Word</group>
      <groupName>字词问题</groupName>
      <ability>L2_Typo</ability>
      <abilityName>字词错误</abilityName>
      <candidateList>
        <item>支撑体系</item>
      </candidateList>
      <explain/>
      <paraID>566E7F14</paraID>
      <start>128</start>
      <end>132</end>
      <status>unmodified</status>
      <modifiedWord/>
      <trackRevisions>false</trackRevisions>
    </reviewItem>
    <reviewItem>
      <errorID>48f52c0e-12fd-4505-8271-6f62da1211d8</errorID>
      <errorWord>参数</errorWord>
      <group>L1_Punc</group>
      <groupName>标点问题</groupName>
      <ability>L2_Punc_CN</ability>
      <abilityName>标点符号问题</abilityName>
      <candidateList>
        <item>参数。</item>
      </candidateList>
      <explain/>
      <paraID>79762323</paraID>
      <start>77</start>
      <end>79</end>
      <status>unmodified</status>
      <modifiedWord/>
      <trackRevisions>false</trackRevisions>
    </reviewItem>
    <reviewItem>
      <errorID>8c4d8290-0d16-42c5-b6af-736ea683856b</errorID>
      <errorWord>签订之日起至</errorWord>
      <group>L1_Word</group>
      <groupName>字词问题</groupName>
      <ability>L2_Typo</ability>
      <abilityName>字词错误</abilityName>
      <candidateList>
        <item>签订之日起</item>
      </candidateList>
      <explain/>
      <paraID> 753872B</paraID>
      <start>7</start>
      <end>13</end>
      <status>unmodified</status>
      <modifiedWord/>
      <trackRevisions>false</trackRevisions>
    </reviewItem>
    <reviewItem>
      <errorID>eaa0c218-890d-4c85-be9d-71719c8aa840</errorID>
      <errorWord>【2025】24号</errorWord>
      <group>L1_Knowledge</group>
      <groupName>知识性问题</groupName>
      <ability>L2_Knowledge</ability>
      <abilityName>其他知识</abilityName>
      <candidateList>
        <item>〔2025〕24号</item>
      </candidateList>
      <explain>发文字号格式错误。</explain>
      <paraID>45BA3475</paraID>
      <start>70</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5c3b30-8f2c-4bc1-9858-a8eade5eb662}">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2961</Words>
  <Characters>3009</Characters>
  <Lines>21</Lines>
  <Paragraphs>5</Paragraphs>
  <TotalTime>6</TotalTime>
  <ScaleCrop>false</ScaleCrop>
  <LinksUpToDate>false</LinksUpToDate>
  <CharactersWithSpaces>3015</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2025-11-21T06:55:00Z</dcterms:created>
  <dc:creator>Administrator</dc:creator>
  <cp:lastModifiedBy>刘志浩</cp:lastModifiedBy>
  <cp:lastPrinted>2026-10-15T07:19:00Z</cp:lastPrinted>
  <dcterms:modified xsi:type="dcterms:W3CDTF">2026-10-16T01:25:18Z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KSOTemplateDocerSaveRecord">
    <vt:lpwstr>eyJoZGlkIjoiOWIyOThlMWE4MDcxZDhlY2M2NGJjMWFhN2EwYTQ0YzkiLCJ1c2VySWQiOiIxODMyMzczODI0In0=</vt:lpwstr>
  </property>
  <property fmtid="{D5CDD505-2E9C-101B-9397-08002B2CF9AE}" pid="4" name="ICV">
    <vt:lpwstr>B87BD8965C5B4E2883C66B58423C056F_13</vt:lpwstr>
  </property>
</Properties>
</file>