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ind w:left="0" w:leftChars="0" w:firstLine="0" w:firstLineChars="0"/>
        <w:jc w:val="both"/>
        <w:textAlignment w:val="auto"/>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eastAsia="zh-CN"/>
        </w:rPr>
        <w:t>附件</w:t>
      </w:r>
      <w:r>
        <w:rPr>
          <w:rFonts w:hint="eastAsia" w:ascii="黑体" w:hAnsi="黑体" w:eastAsia="黑体" w:cs="黑体"/>
          <w:b w:val="0"/>
          <w:bCs w:val="0"/>
          <w:color w:val="000000"/>
          <w:sz w:val="32"/>
          <w:szCs w:val="32"/>
          <w:lang w:val="en-US" w:eastAsia="zh-CN"/>
        </w:rPr>
        <w:t>3</w:t>
      </w:r>
    </w:p>
    <w:p>
      <w:pPr>
        <w:keepNext w:val="0"/>
        <w:keepLines w:val="0"/>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方正小标宋简体" w:hAnsi="方正小标宋简体" w:eastAsia="方正小标宋简体" w:cs="方正小标宋简体"/>
          <w:b w:val="0"/>
          <w:bCs w:val="0"/>
          <w:color w:val="000000"/>
          <w:sz w:val="44"/>
          <w:szCs w:val="44"/>
          <w:lang w:eastAsia="zh-CN"/>
        </w:rPr>
      </w:pPr>
      <w:r>
        <w:rPr>
          <w:rFonts w:hint="eastAsia" w:ascii="方正小标宋简体" w:hAnsi="方正小标宋简体" w:eastAsia="方正小标宋简体" w:cs="方正小标宋简体"/>
          <w:b w:val="0"/>
          <w:bCs w:val="0"/>
          <w:color w:val="000000"/>
          <w:sz w:val="44"/>
          <w:szCs w:val="44"/>
          <w:lang w:eastAsia="zh-CN"/>
        </w:rPr>
        <w:t>《珠机城际合作区内交通指引标识</w:t>
      </w:r>
      <w:r>
        <w:rPr>
          <w:rFonts w:hint="eastAsia" w:ascii="方正小标宋简体" w:hAnsi="方正小标宋简体" w:eastAsia="方正小标宋简体" w:cs="方正小标宋简体"/>
          <w:b w:val="0"/>
          <w:bCs w:val="0"/>
          <w:color w:val="000000"/>
          <w:sz w:val="44"/>
          <w:szCs w:val="44"/>
          <w:lang w:val="en-US" w:eastAsia="zh-CN"/>
        </w:rPr>
        <w:t>采购及</w:t>
      </w:r>
      <w:r>
        <w:rPr>
          <w:rFonts w:hint="eastAsia" w:ascii="方正小标宋简体" w:hAnsi="方正小标宋简体" w:eastAsia="方正小标宋简体" w:cs="方正小标宋简体"/>
          <w:b w:val="0"/>
          <w:bCs w:val="0"/>
          <w:color w:val="000000"/>
          <w:sz w:val="44"/>
          <w:szCs w:val="44"/>
          <w:lang w:eastAsia="zh-CN"/>
        </w:rPr>
        <w:t>安装</w:t>
      </w:r>
      <w:r>
        <w:rPr>
          <w:rFonts w:hint="eastAsia" w:ascii="方正小标宋简体" w:hAnsi="方正小标宋简体" w:eastAsia="方正小标宋简体" w:cs="方正小标宋简体"/>
          <w:b w:val="0"/>
          <w:bCs w:val="0"/>
          <w:color w:val="000000"/>
          <w:sz w:val="44"/>
          <w:szCs w:val="44"/>
          <w:lang w:val="en-US" w:eastAsia="zh-CN"/>
        </w:rPr>
        <w:t>服务</w:t>
      </w:r>
      <w:r>
        <w:rPr>
          <w:rFonts w:hint="eastAsia" w:ascii="方正小标宋简体" w:hAnsi="方正小标宋简体" w:eastAsia="方正小标宋简体" w:cs="方正小标宋简体"/>
          <w:b w:val="0"/>
          <w:bCs w:val="0"/>
          <w:color w:val="000000"/>
          <w:sz w:val="44"/>
          <w:szCs w:val="44"/>
          <w:lang w:eastAsia="zh-CN"/>
        </w:rPr>
        <w:t>项目》评分细则</w:t>
      </w:r>
    </w:p>
    <w:p>
      <w:pPr>
        <w:pStyle w:val="3"/>
        <w:keepNext w:val="0"/>
        <w:keepLines w:val="0"/>
        <w:pageBreakBefore w:val="0"/>
        <w:widowControl/>
        <w:kinsoku/>
        <w:wordWrap/>
        <w:overflowPunct/>
        <w:topLinePunct w:val="0"/>
        <w:autoSpaceDE/>
        <w:autoSpaceDN/>
        <w:bidi w:val="0"/>
        <w:spacing w:before="0" w:beforeAutospacing="0" w:after="120" w:afterAutospacing="0"/>
        <w:ind w:left="0" w:leftChars="0" w:right="0" w:firstLine="640" w:firstLineChars="200"/>
        <w:textAlignment w:val="auto"/>
        <w:rPr>
          <w:b/>
          <w:sz w:val="24"/>
        </w:rPr>
      </w:pPr>
      <w:r>
        <w:rPr>
          <w:rFonts w:hint="eastAsia" w:ascii="仿宋_GB2312" w:hAnsi="仿宋_GB2312" w:eastAsia="仿宋_GB2312" w:cs="仿宋_GB2312"/>
          <w:sz w:val="32"/>
          <w:szCs w:val="32"/>
          <w:lang w:val="en-US" w:eastAsia="zh-CN"/>
        </w:rPr>
        <w:t>本项目采用综合评分法进行评审，具体评分细则详见综合评分表。</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88"/>
        <w:gridCol w:w="1878"/>
        <w:gridCol w:w="585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评审因素</w:t>
            </w:r>
          </w:p>
        </w:tc>
        <w:tc>
          <w:tcPr>
            <w:tcW w:w="7383" w:type="dxa"/>
            <w:gridSpan w:val="2"/>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评审标准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分值构成</w:t>
            </w:r>
          </w:p>
        </w:tc>
        <w:tc>
          <w:tcPr>
            <w:tcW w:w="7383" w:type="dxa"/>
            <w:gridSpan w:val="2"/>
          </w:tcPr>
          <w:p>
            <w:pPr>
              <w:pStyle w:val="6"/>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商务部分40.0分</w:t>
            </w:r>
          </w:p>
          <w:p>
            <w:pPr>
              <w:pStyle w:val="6"/>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技术部分50.0分</w:t>
            </w:r>
          </w:p>
          <w:p>
            <w:pPr>
              <w:pStyle w:val="6"/>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报价得分10.0分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技术部分</w:t>
            </w: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实施方案 (</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0.0分)</w:t>
            </w:r>
          </w:p>
        </w:tc>
        <w:tc>
          <w:tcPr>
            <w:tcW w:w="5076" w:type="dxa"/>
          </w:tcPr>
          <w:p>
            <w:pPr>
              <w:pStyle w:val="6"/>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根据供应商对本项目的理解及实施方案的内容（包括但不限于</w:t>
            </w:r>
            <w:r>
              <w:rPr>
                <w:rFonts w:hint="eastAsia" w:ascii="仿宋_GB2312" w:hAnsi="仿宋_GB2312" w:eastAsia="仿宋_GB2312" w:cs="仿宋_GB2312"/>
                <w:sz w:val="24"/>
                <w:szCs w:val="24"/>
                <w:lang w:eastAsia="zh-CN"/>
              </w:rPr>
              <w:t>“项目服务要求”、“技术及性能要求”、“</w:t>
            </w:r>
            <w:r>
              <w:rPr>
                <w:rFonts w:hint="eastAsia" w:ascii="仿宋_GB2312" w:hAnsi="仿宋_GB2312" w:eastAsia="仿宋_GB2312" w:cs="仿宋_GB2312"/>
                <w:sz w:val="24"/>
                <w:szCs w:val="24"/>
                <w:lang w:val="en-US" w:eastAsia="zh-CN"/>
              </w:rPr>
              <w:t>施工计划</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实施方案</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等内容）进行综合评审:</w:t>
            </w:r>
          </w:p>
          <w:p>
            <w:pPr>
              <w:pStyle w:val="6"/>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20</w:t>
            </w:r>
            <w:r>
              <w:rPr>
                <w:rFonts w:hint="eastAsia" w:ascii="仿宋_GB2312" w:hAnsi="仿宋_GB2312" w:eastAsia="仿宋_GB2312" w:cs="仿宋_GB2312"/>
                <w:sz w:val="24"/>
                <w:szCs w:val="24"/>
              </w:rPr>
              <w:t>分：方案包含以上四项内容，且内容详细完整；方案合理，可操作性强，切合本项目实际情况；</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15</w:t>
            </w:r>
            <w:r>
              <w:rPr>
                <w:rFonts w:hint="eastAsia" w:ascii="仿宋_GB2312" w:hAnsi="仿宋_GB2312" w:eastAsia="仿宋_GB2312" w:cs="仿宋_GB2312"/>
                <w:sz w:val="24"/>
                <w:szCs w:val="24"/>
              </w:rPr>
              <w:t>分：方案包含以上</w:t>
            </w:r>
            <w:r>
              <w:rPr>
                <w:rFonts w:hint="eastAsia" w:ascii="仿宋_GB2312" w:hAnsi="仿宋_GB2312" w:eastAsia="仿宋_GB2312" w:cs="仿宋_GB2312"/>
                <w:sz w:val="24"/>
                <w:szCs w:val="24"/>
                <w:lang w:eastAsia="zh-TW"/>
              </w:rPr>
              <w:t>三</w:t>
            </w:r>
            <w:r>
              <w:rPr>
                <w:rFonts w:hint="eastAsia" w:ascii="仿宋_GB2312" w:hAnsi="仿宋_GB2312" w:eastAsia="仿宋_GB2312" w:cs="仿宋_GB2312"/>
                <w:sz w:val="24"/>
                <w:szCs w:val="24"/>
              </w:rPr>
              <w:t>项内容，且内容较为完整；方案较为合理，有一定的可操作，切合本项目实际情况；</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eastAsia="zh-TW"/>
              </w:rPr>
              <w:t>二</w:t>
            </w:r>
            <w:r>
              <w:rPr>
                <w:rFonts w:hint="eastAsia" w:ascii="仿宋_GB2312" w:hAnsi="仿宋_GB2312" w:eastAsia="仿宋_GB2312" w:cs="仿宋_GB2312"/>
                <w:sz w:val="24"/>
                <w:szCs w:val="24"/>
              </w:rPr>
              <w:t>项内容，且内容基本完整，方案基本具有可操性，基本符合本项目实际情况；</w:t>
            </w:r>
          </w:p>
          <w:p>
            <w:pPr>
              <w:pStyle w:val="6"/>
              <w:numPr>
                <w:ilvl w:val="0"/>
                <w:numId w:val="0"/>
              </w:num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eastAsia="zh-TW"/>
              </w:rPr>
              <w:t>一</w:t>
            </w:r>
            <w:r>
              <w:rPr>
                <w:rFonts w:hint="eastAsia" w:ascii="仿宋_GB2312" w:hAnsi="仿宋_GB2312" w:eastAsia="仿宋_GB2312" w:cs="仿宋_GB2312"/>
                <w:sz w:val="24"/>
                <w:szCs w:val="24"/>
              </w:rPr>
              <w:t>项内容，但内容不完整，方案内容不够全面，不具有可操性，不符合本项目实际情况</w:t>
            </w:r>
            <w:r>
              <w:rPr>
                <w:rFonts w:hint="eastAsia" w:ascii="仿宋_GB2312" w:hAnsi="仿宋_GB2312" w:eastAsia="仿宋_GB2312" w:cs="仿宋_GB2312"/>
                <w:sz w:val="24"/>
                <w:szCs w:val="24"/>
                <w:lang w:eastAsia="zh-CN"/>
              </w:rPr>
              <w:t>；</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0分：无本项相关内容或相关内容完全错误或其他情况。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vAlign w:val="center"/>
          </w:tcPr>
          <w:p>
            <w:pPr>
              <w:jc w:val="center"/>
              <w:rPr>
                <w:rFonts w:hint="eastAsia" w:ascii="仿宋_GB2312" w:hAnsi="仿宋_GB2312" w:eastAsia="仿宋_GB2312" w:cs="仿宋_GB2312"/>
                <w:sz w:val="24"/>
                <w:szCs w:val="24"/>
              </w:rPr>
            </w:pP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项目重点难点分析与对应</w:t>
            </w:r>
            <w:r>
              <w:rPr>
                <w:rFonts w:hint="eastAsia" w:ascii="仿宋_GB2312" w:hAnsi="仿宋_GB2312" w:eastAsia="仿宋_GB2312" w:cs="仿宋_GB2312"/>
                <w:sz w:val="24"/>
                <w:szCs w:val="24"/>
                <w:lang w:val="en-US" w:eastAsia="zh-CN"/>
              </w:rPr>
              <w:t xml:space="preserve">措施 </w:t>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.0分)</w:t>
            </w:r>
          </w:p>
        </w:tc>
        <w:tc>
          <w:tcPr>
            <w:tcW w:w="5076" w:type="dxa"/>
          </w:tcPr>
          <w:p>
            <w:pPr>
              <w:pStyle w:val="6"/>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根据供应商对</w:t>
            </w:r>
            <w:r>
              <w:rPr>
                <w:rFonts w:hint="eastAsia" w:ascii="仿宋_GB2312" w:hAnsi="仿宋_GB2312" w:eastAsia="仿宋_GB2312" w:cs="仿宋_GB2312"/>
                <w:sz w:val="24"/>
                <w:szCs w:val="24"/>
                <w:lang w:val="en-US" w:eastAsia="zh-CN"/>
              </w:rPr>
              <w:t>本</w:t>
            </w:r>
            <w:r>
              <w:rPr>
                <w:rFonts w:hint="eastAsia" w:ascii="仿宋_GB2312" w:hAnsi="仿宋_GB2312" w:eastAsia="仿宋_GB2312" w:cs="仿宋_GB2312"/>
                <w:sz w:val="24"/>
                <w:szCs w:val="24"/>
              </w:rPr>
              <w:t>项目重点难点</w:t>
            </w:r>
            <w:r>
              <w:rPr>
                <w:rFonts w:hint="eastAsia" w:ascii="仿宋_GB2312" w:hAnsi="仿宋_GB2312" w:eastAsia="仿宋_GB2312" w:cs="仿宋_GB2312"/>
                <w:sz w:val="24"/>
                <w:szCs w:val="24"/>
                <w:lang w:val="en-US" w:eastAsia="zh-CN"/>
              </w:rPr>
              <w:t>以及</w:t>
            </w:r>
            <w:r>
              <w:rPr>
                <w:rFonts w:hint="eastAsia" w:ascii="仿宋_GB2312" w:hAnsi="仿宋_GB2312" w:eastAsia="仿宋_GB2312" w:cs="仿宋_GB2312"/>
                <w:sz w:val="24"/>
                <w:szCs w:val="24"/>
              </w:rPr>
              <w:t>对应措施（包括但不限于</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重难点分析</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对应措施</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等内容）进行</w:t>
            </w:r>
            <w:r>
              <w:rPr>
                <w:rFonts w:hint="eastAsia" w:ascii="仿宋_GB2312" w:hAnsi="仿宋_GB2312" w:eastAsia="仿宋_GB2312" w:cs="仿宋_GB2312"/>
                <w:sz w:val="24"/>
                <w:szCs w:val="24"/>
                <w:lang w:val="en-US" w:eastAsia="zh-CN"/>
              </w:rPr>
              <w:t>综合评审：</w:t>
            </w:r>
          </w:p>
          <w:p>
            <w:pPr>
              <w:pStyle w:val="6"/>
              <w:numPr>
                <w:ilvl w:val="0"/>
                <w:numId w:val="0"/>
              </w:num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15</w:t>
            </w:r>
            <w:r>
              <w:rPr>
                <w:rFonts w:hint="eastAsia" w:ascii="仿宋_GB2312" w:hAnsi="仿宋_GB2312" w:eastAsia="仿宋_GB2312" w:cs="仿宋_GB2312"/>
                <w:sz w:val="24"/>
                <w:szCs w:val="24"/>
              </w:rPr>
              <w:t>分：方案包含以上</w:t>
            </w:r>
            <w:r>
              <w:rPr>
                <w:rFonts w:hint="eastAsia" w:ascii="仿宋_GB2312" w:hAnsi="仿宋_GB2312" w:eastAsia="仿宋_GB2312" w:cs="仿宋_GB2312"/>
                <w:sz w:val="24"/>
                <w:szCs w:val="24"/>
                <w:lang w:val="en-US" w:eastAsia="zh-CN"/>
              </w:rPr>
              <w:t>两</w:t>
            </w:r>
            <w:r>
              <w:rPr>
                <w:rFonts w:hint="eastAsia" w:ascii="仿宋_GB2312" w:hAnsi="仿宋_GB2312" w:eastAsia="仿宋_GB2312" w:cs="仿宋_GB2312"/>
                <w:sz w:val="24"/>
                <w:szCs w:val="24"/>
              </w:rPr>
              <w:t>项内容，且内容详细完整；方案合理，可操作性强，切合本项目实际情况</w:t>
            </w:r>
            <w:r>
              <w:rPr>
                <w:rFonts w:hint="eastAsia" w:ascii="仿宋_GB2312" w:hAnsi="仿宋_GB2312" w:eastAsia="仿宋_GB2312" w:cs="仿宋_GB2312"/>
                <w:sz w:val="24"/>
                <w:szCs w:val="24"/>
                <w:lang w:eastAsia="zh-CN"/>
              </w:rPr>
              <w:t>；</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val="en-US" w:eastAsia="zh-CN"/>
              </w:rPr>
              <w:t>两</w:t>
            </w:r>
            <w:r>
              <w:rPr>
                <w:rFonts w:hint="eastAsia" w:ascii="仿宋_GB2312" w:hAnsi="仿宋_GB2312" w:eastAsia="仿宋_GB2312" w:cs="仿宋_GB2312"/>
                <w:sz w:val="24"/>
                <w:szCs w:val="24"/>
              </w:rPr>
              <w:t>项内容，且内容较为完整；方案较为合理，有一定的可操作，切合本项目实际情况；</w:t>
            </w:r>
          </w:p>
          <w:p>
            <w:pPr>
              <w:pStyle w:val="6"/>
              <w:numPr>
                <w:ilvl w:val="0"/>
                <w:numId w:val="0"/>
              </w:num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val="en-US" w:eastAsia="zh-CN"/>
              </w:rPr>
              <w:t>一</w:t>
            </w:r>
            <w:r>
              <w:rPr>
                <w:rFonts w:hint="eastAsia" w:ascii="仿宋_GB2312" w:hAnsi="仿宋_GB2312" w:eastAsia="仿宋_GB2312" w:cs="仿宋_GB2312"/>
                <w:sz w:val="24"/>
                <w:szCs w:val="24"/>
              </w:rPr>
              <w:t>项内容，且内容基本完整，方案基本具有可操性，基本符合本项目实际情况</w:t>
            </w:r>
            <w:r>
              <w:rPr>
                <w:rFonts w:hint="eastAsia" w:ascii="仿宋_GB2312" w:hAnsi="仿宋_GB2312" w:eastAsia="仿宋_GB2312" w:cs="仿宋_GB2312"/>
                <w:sz w:val="24"/>
                <w:szCs w:val="24"/>
                <w:lang w:eastAsia="zh-CN"/>
              </w:rPr>
              <w:t>；</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eastAsia="zh-TW"/>
              </w:rPr>
              <w:t>一</w:t>
            </w:r>
            <w:r>
              <w:rPr>
                <w:rFonts w:hint="eastAsia" w:ascii="仿宋_GB2312" w:hAnsi="仿宋_GB2312" w:eastAsia="仿宋_GB2312" w:cs="仿宋_GB2312"/>
                <w:sz w:val="24"/>
                <w:szCs w:val="24"/>
              </w:rPr>
              <w:t>项内容，但内容不完整，方案内容不够全面，不具有可操性，不符合本项目实际情况</w:t>
            </w:r>
            <w:r>
              <w:rPr>
                <w:rFonts w:hint="eastAsia" w:ascii="仿宋_GB2312" w:hAnsi="仿宋_GB2312" w:eastAsia="仿宋_GB2312" w:cs="仿宋_GB2312"/>
                <w:sz w:val="24"/>
                <w:szCs w:val="24"/>
                <w:lang w:eastAsia="zh-CN"/>
              </w:rPr>
              <w:t>；</w:t>
            </w:r>
          </w:p>
          <w:p>
            <w:pPr>
              <w:pStyle w:val="6"/>
              <w:numPr>
                <w:ilvl w:val="0"/>
                <w:numId w:val="0"/>
              </w:numPr>
              <w:ind w:leftChars="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0分：无本项相关内容或相关内容完全错误或其他情况。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vAlign w:val="center"/>
          </w:tcPr>
          <w:p>
            <w:pPr>
              <w:jc w:val="center"/>
              <w:rPr>
                <w:rFonts w:hint="eastAsia" w:ascii="仿宋_GB2312" w:hAnsi="仿宋_GB2312" w:eastAsia="仿宋_GB2312" w:cs="仿宋_GB2312"/>
                <w:sz w:val="24"/>
                <w:szCs w:val="24"/>
              </w:rPr>
            </w:pP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应急</w:t>
            </w:r>
            <w:r>
              <w:rPr>
                <w:rFonts w:hint="eastAsia" w:ascii="仿宋_GB2312" w:hAnsi="仿宋_GB2312" w:eastAsia="仿宋_GB2312" w:cs="仿宋_GB2312"/>
                <w:sz w:val="24"/>
                <w:szCs w:val="24"/>
                <w:lang w:val="en-US" w:eastAsia="zh-CN"/>
              </w:rPr>
              <w:t>保障</w:t>
            </w:r>
            <w:r>
              <w:rPr>
                <w:rFonts w:hint="eastAsia" w:ascii="仿宋_GB2312" w:hAnsi="仿宋_GB2312" w:eastAsia="仿宋_GB2312" w:cs="仿宋_GB2312"/>
                <w:sz w:val="24"/>
                <w:szCs w:val="24"/>
              </w:rPr>
              <w:t>措施 (10.0分)</w:t>
            </w:r>
          </w:p>
        </w:tc>
        <w:tc>
          <w:tcPr>
            <w:tcW w:w="5076" w:type="dxa"/>
          </w:tcPr>
          <w:p>
            <w:pPr>
              <w:pStyle w:val="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根据供应商提供的应急</w:t>
            </w:r>
            <w:r>
              <w:rPr>
                <w:rFonts w:hint="eastAsia" w:ascii="仿宋_GB2312" w:hAnsi="仿宋_GB2312" w:eastAsia="仿宋_GB2312" w:cs="仿宋_GB2312"/>
                <w:sz w:val="24"/>
                <w:szCs w:val="24"/>
                <w:lang w:val="en-US" w:eastAsia="zh-CN"/>
              </w:rPr>
              <w:t>保障</w:t>
            </w:r>
            <w:r>
              <w:rPr>
                <w:rFonts w:hint="eastAsia" w:ascii="仿宋_GB2312" w:hAnsi="仿宋_GB2312" w:eastAsia="仿宋_GB2312" w:cs="仿宋_GB2312"/>
                <w:sz w:val="24"/>
                <w:szCs w:val="24"/>
              </w:rPr>
              <w:t>措施情况（包括但不限</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项目团队</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预险措施</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抵抗风险措施</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突发情况紧急措施</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等内容）进行</w:t>
            </w:r>
            <w:r>
              <w:rPr>
                <w:rFonts w:hint="eastAsia" w:ascii="仿宋_GB2312" w:hAnsi="仿宋_GB2312" w:eastAsia="仿宋_GB2312" w:cs="仿宋_GB2312"/>
                <w:sz w:val="24"/>
                <w:szCs w:val="24"/>
                <w:lang w:val="en-US" w:eastAsia="zh-CN"/>
              </w:rPr>
              <w:t>综合</w:t>
            </w:r>
            <w:r>
              <w:rPr>
                <w:rFonts w:hint="eastAsia" w:ascii="仿宋_GB2312" w:hAnsi="仿宋_GB2312" w:eastAsia="仿宋_GB2312" w:cs="仿宋_GB2312"/>
                <w:sz w:val="24"/>
                <w:szCs w:val="24"/>
              </w:rPr>
              <w:t>评审</w:t>
            </w:r>
            <w:r>
              <w:rPr>
                <w:rFonts w:hint="eastAsia" w:ascii="仿宋_GB2312" w:hAnsi="仿宋_GB2312" w:eastAsia="仿宋_GB2312" w:cs="仿宋_GB2312"/>
                <w:sz w:val="24"/>
                <w:szCs w:val="24"/>
                <w:lang w:eastAsia="zh-CN"/>
              </w:rPr>
              <w:t>：</w:t>
            </w:r>
          </w:p>
          <w:p>
            <w:pPr>
              <w:pStyle w:val="6"/>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w:t>
            </w:r>
            <w:r>
              <w:rPr>
                <w:rFonts w:hint="eastAsia" w:ascii="仿宋_GB2312" w:hAnsi="仿宋_GB2312" w:eastAsia="仿宋_GB2312" w:cs="仿宋_GB2312"/>
                <w:sz w:val="24"/>
                <w:szCs w:val="24"/>
              </w:rPr>
              <w:t>分：方案包含以上四项内容，且内容详细完整；方案合理，可操作性强，切合本项目实际情况；</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分：方案包含以上</w:t>
            </w:r>
            <w:r>
              <w:rPr>
                <w:rFonts w:hint="eastAsia" w:ascii="仿宋_GB2312" w:hAnsi="仿宋_GB2312" w:eastAsia="仿宋_GB2312" w:cs="仿宋_GB2312"/>
                <w:sz w:val="24"/>
                <w:szCs w:val="24"/>
                <w:lang w:eastAsia="zh-TW"/>
              </w:rPr>
              <w:t>三</w:t>
            </w:r>
            <w:r>
              <w:rPr>
                <w:rFonts w:hint="eastAsia" w:ascii="仿宋_GB2312" w:hAnsi="仿宋_GB2312" w:eastAsia="仿宋_GB2312" w:cs="仿宋_GB2312"/>
                <w:sz w:val="24"/>
                <w:szCs w:val="24"/>
              </w:rPr>
              <w:t>项内容，且内容较为完整；方案较为合理，有一定的可操作，切合本项目实际情况；</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eastAsia="zh-TW"/>
              </w:rPr>
              <w:t>二</w:t>
            </w:r>
            <w:r>
              <w:rPr>
                <w:rFonts w:hint="eastAsia" w:ascii="仿宋_GB2312" w:hAnsi="仿宋_GB2312" w:eastAsia="仿宋_GB2312" w:cs="仿宋_GB2312"/>
                <w:sz w:val="24"/>
                <w:szCs w:val="24"/>
              </w:rPr>
              <w:t>项内容，且内容基本完整，方案基本具有可操性，基本符合本项目实际情况；</w:t>
            </w:r>
          </w:p>
          <w:p>
            <w:pPr>
              <w:pStyle w:val="6"/>
              <w:numPr>
                <w:ilvl w:val="0"/>
                <w:numId w:val="0"/>
              </w:num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eastAsia="zh-TW"/>
              </w:rPr>
              <w:t>一</w:t>
            </w:r>
            <w:r>
              <w:rPr>
                <w:rFonts w:hint="eastAsia" w:ascii="仿宋_GB2312" w:hAnsi="仿宋_GB2312" w:eastAsia="仿宋_GB2312" w:cs="仿宋_GB2312"/>
                <w:sz w:val="24"/>
                <w:szCs w:val="24"/>
              </w:rPr>
              <w:t>项内容，但内容不完整，方案内容不够全面，不具有可操性，不符合本项目实际情况</w:t>
            </w:r>
            <w:r>
              <w:rPr>
                <w:rFonts w:hint="eastAsia" w:ascii="仿宋_GB2312" w:hAnsi="仿宋_GB2312" w:eastAsia="仿宋_GB2312" w:cs="仿宋_GB2312"/>
                <w:sz w:val="24"/>
                <w:szCs w:val="24"/>
                <w:lang w:eastAsia="zh-CN"/>
              </w:rPr>
              <w:t>；</w:t>
            </w:r>
          </w:p>
          <w:p>
            <w:pPr>
              <w:pStyle w:val="6"/>
              <w:numPr>
                <w:ilvl w:val="0"/>
                <w:numId w:val="0"/>
              </w:numPr>
              <w:ind w:leftChars="0"/>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0分：无本项相关内容或相关内容完全错误或其他情况。</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09" w:hRule="atLeast"/>
        </w:trPr>
        <w:tc>
          <w:tcPr>
            <w:tcW w:w="922" w:type="dxa"/>
            <w:vMerge w:val="continue"/>
            <w:vAlign w:val="center"/>
          </w:tcPr>
          <w:p>
            <w:pPr>
              <w:jc w:val="center"/>
              <w:rPr>
                <w:rFonts w:hint="eastAsia" w:ascii="仿宋_GB2312" w:hAnsi="仿宋_GB2312" w:eastAsia="仿宋_GB2312" w:cs="仿宋_GB2312"/>
                <w:sz w:val="24"/>
                <w:szCs w:val="24"/>
              </w:rPr>
            </w:pP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服务承诺(</w:t>
            </w: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.0分)</w:t>
            </w:r>
          </w:p>
          <w:p>
            <w:pPr>
              <w:bidi w:val="0"/>
              <w:jc w:val="center"/>
              <w:rPr>
                <w:rFonts w:hint="eastAsia" w:ascii="仿宋_GB2312" w:hAnsi="仿宋_GB2312" w:eastAsia="仿宋_GB2312" w:cs="仿宋_GB2312"/>
                <w:sz w:val="24"/>
                <w:szCs w:val="24"/>
              </w:rPr>
            </w:pPr>
          </w:p>
        </w:tc>
        <w:tc>
          <w:tcPr>
            <w:tcW w:w="5076" w:type="dxa"/>
          </w:tcPr>
          <w:p>
            <w:pPr>
              <w:pStyle w:val="6"/>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根</w:t>
            </w:r>
            <w:r>
              <w:rPr>
                <w:rFonts w:hint="eastAsia" w:ascii="仿宋_GB2312" w:hAnsi="仿宋_GB2312" w:eastAsia="仿宋_GB2312" w:cs="仿宋_GB2312"/>
                <w:sz w:val="24"/>
                <w:szCs w:val="24"/>
                <w:lang w:val="en-US" w:eastAsia="zh-CN"/>
              </w:rPr>
              <w:t>据供应商提供服务承诺（</w:t>
            </w:r>
            <w:r>
              <w:rPr>
                <w:rFonts w:hint="eastAsia" w:ascii="仿宋_GB2312" w:hAnsi="仿宋_GB2312" w:eastAsia="仿宋_GB2312" w:cs="仿宋_GB2312"/>
                <w:sz w:val="24"/>
                <w:szCs w:val="24"/>
              </w:rPr>
              <w:t>包括但不限</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响应时间</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、“处理速度”和“售后承诺”等内容）进行综合评审：</w:t>
            </w:r>
          </w:p>
          <w:p>
            <w:pPr>
              <w:pStyle w:val="6"/>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5</w:t>
            </w:r>
            <w:r>
              <w:rPr>
                <w:rFonts w:hint="eastAsia" w:ascii="仿宋_GB2312" w:hAnsi="仿宋_GB2312" w:eastAsia="仿宋_GB2312" w:cs="仿宋_GB2312"/>
                <w:sz w:val="24"/>
                <w:szCs w:val="24"/>
              </w:rPr>
              <w:t>分：方案包含以上</w:t>
            </w:r>
            <w:r>
              <w:rPr>
                <w:rFonts w:hint="eastAsia" w:ascii="仿宋_GB2312" w:hAnsi="仿宋_GB2312" w:eastAsia="仿宋_GB2312" w:cs="仿宋_GB2312"/>
                <w:sz w:val="24"/>
                <w:szCs w:val="24"/>
                <w:lang w:val="en-US" w:eastAsia="zh-CN"/>
              </w:rPr>
              <w:t>三</w:t>
            </w:r>
            <w:r>
              <w:rPr>
                <w:rFonts w:hint="eastAsia" w:ascii="仿宋_GB2312" w:hAnsi="仿宋_GB2312" w:eastAsia="仿宋_GB2312" w:cs="仿宋_GB2312"/>
                <w:sz w:val="24"/>
                <w:szCs w:val="24"/>
              </w:rPr>
              <w:t>项内容，且内容详细完整；方案合理，可操作性强，切合本项目实际情况；</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分：方案包含以上</w:t>
            </w:r>
            <w:r>
              <w:rPr>
                <w:rFonts w:hint="eastAsia" w:ascii="仿宋_GB2312" w:hAnsi="仿宋_GB2312" w:eastAsia="仿宋_GB2312" w:cs="仿宋_GB2312"/>
                <w:sz w:val="24"/>
                <w:szCs w:val="24"/>
                <w:lang w:val="en-US" w:eastAsia="zh-CN"/>
              </w:rPr>
              <w:t>二</w:t>
            </w:r>
            <w:r>
              <w:rPr>
                <w:rFonts w:hint="eastAsia" w:ascii="仿宋_GB2312" w:hAnsi="仿宋_GB2312" w:eastAsia="仿宋_GB2312" w:cs="仿宋_GB2312"/>
                <w:sz w:val="24"/>
                <w:szCs w:val="24"/>
              </w:rPr>
              <w:t>项内容，且内容较为完整；方案较为合理，有一定的可操作，切合本项目实际情况；</w:t>
            </w:r>
          </w:p>
          <w:p>
            <w:pPr>
              <w:pStyle w:val="6"/>
              <w:numPr>
                <w:ilvl w:val="0"/>
                <w:numId w:val="0"/>
              </w:num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分：方案包含其中</w:t>
            </w:r>
            <w:r>
              <w:rPr>
                <w:rFonts w:hint="eastAsia" w:ascii="仿宋_GB2312" w:hAnsi="仿宋_GB2312" w:eastAsia="仿宋_GB2312" w:cs="仿宋_GB2312"/>
                <w:sz w:val="24"/>
                <w:szCs w:val="24"/>
                <w:lang w:val="en-US" w:eastAsia="zh-CN"/>
              </w:rPr>
              <w:t>一</w:t>
            </w:r>
            <w:r>
              <w:rPr>
                <w:rFonts w:hint="eastAsia" w:ascii="仿宋_GB2312" w:hAnsi="仿宋_GB2312" w:eastAsia="仿宋_GB2312" w:cs="仿宋_GB2312"/>
                <w:sz w:val="24"/>
                <w:szCs w:val="24"/>
              </w:rPr>
              <w:t>项内容，且内容基本完整，方案基本具有可操性，基本符合本项目实际情况；</w:t>
            </w:r>
          </w:p>
          <w:p>
            <w:pPr>
              <w:pStyle w:val="6"/>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0分：无本项相关内容或相关内容完全错误或其他情况。</w:t>
            </w:r>
            <w:bookmarkStart w:id="0" w:name="_GoBack"/>
            <w:bookmarkEnd w:id="0"/>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商务部分</w:t>
            </w: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类似业绩 (</w:t>
            </w:r>
            <w:r>
              <w:rPr>
                <w:rFonts w:hint="eastAsia" w:ascii="仿宋_GB2312" w:hAnsi="仿宋_GB2312" w:eastAsia="仿宋_GB2312" w:cs="仿宋_GB2312"/>
                <w:sz w:val="24"/>
                <w:szCs w:val="24"/>
                <w:lang w:val="en-US" w:eastAsia="zh-CN"/>
              </w:rPr>
              <w:t>20</w:t>
            </w:r>
            <w:r>
              <w:rPr>
                <w:rFonts w:hint="eastAsia" w:ascii="仿宋_GB2312" w:hAnsi="仿宋_GB2312" w:eastAsia="仿宋_GB2312" w:cs="仿宋_GB2312"/>
                <w:sz w:val="24"/>
                <w:szCs w:val="24"/>
              </w:rPr>
              <w:t>.0分)</w:t>
            </w:r>
          </w:p>
        </w:tc>
        <w:tc>
          <w:tcPr>
            <w:tcW w:w="5076" w:type="dxa"/>
          </w:tcPr>
          <w:p>
            <w:pPr>
              <w:pStyle w:val="6"/>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根据</w:t>
            </w:r>
            <w:r>
              <w:rPr>
                <w:rFonts w:hint="eastAsia" w:ascii="仿宋_GB2312" w:hAnsi="仿宋_GB2312" w:eastAsia="仿宋_GB2312" w:cs="仿宋_GB2312"/>
                <w:sz w:val="24"/>
                <w:szCs w:val="24"/>
              </w:rPr>
              <w:t>供应商</w:t>
            </w:r>
            <w:r>
              <w:rPr>
                <w:rFonts w:hint="eastAsia" w:ascii="仿宋_GB2312" w:hAnsi="仿宋_GB2312" w:eastAsia="仿宋_GB2312" w:cs="仿宋_GB2312"/>
                <w:sz w:val="24"/>
                <w:szCs w:val="24"/>
                <w:lang w:val="en-US" w:eastAsia="zh-CN"/>
              </w:rPr>
              <w:t>自2023年1月1日（以合同签订时间为准）</w:t>
            </w:r>
            <w:r>
              <w:rPr>
                <w:rFonts w:hint="eastAsia" w:ascii="仿宋_GB2312" w:hAnsi="仿宋_GB2312" w:eastAsia="仿宋_GB2312" w:cs="仿宋_GB2312"/>
                <w:sz w:val="24"/>
                <w:szCs w:val="24"/>
              </w:rPr>
              <w:t>以来完成的</w:t>
            </w:r>
            <w:r>
              <w:rPr>
                <w:rFonts w:hint="eastAsia" w:ascii="仿宋_GB2312" w:hAnsi="仿宋_GB2312" w:eastAsia="仿宋_GB2312" w:cs="仿宋_GB2312"/>
                <w:sz w:val="24"/>
                <w:szCs w:val="24"/>
                <w:lang w:val="en-US" w:eastAsia="zh-CN"/>
              </w:rPr>
              <w:t>市政公用工程</w:t>
            </w:r>
            <w:r>
              <w:rPr>
                <w:rFonts w:hint="eastAsia" w:ascii="仿宋_GB2312" w:hAnsi="仿宋_GB2312" w:eastAsia="仿宋_GB2312" w:cs="仿宋_GB2312"/>
                <w:sz w:val="24"/>
                <w:szCs w:val="24"/>
              </w:rPr>
              <w:t>业绩，每个合同业绩得5分，本项满分</w:t>
            </w:r>
            <w:r>
              <w:rPr>
                <w:rFonts w:hint="eastAsia" w:ascii="仿宋_GB2312" w:hAnsi="仿宋_GB2312" w:eastAsia="仿宋_GB2312" w:cs="仿宋_GB2312"/>
                <w:sz w:val="24"/>
                <w:szCs w:val="24"/>
                <w:lang w:val="en-US" w:eastAsia="zh-CN"/>
              </w:rPr>
              <w:t>20</w:t>
            </w:r>
            <w:r>
              <w:rPr>
                <w:rFonts w:hint="eastAsia" w:ascii="仿宋_GB2312" w:hAnsi="仿宋_GB2312" w:eastAsia="仿宋_GB2312" w:cs="仿宋_GB2312"/>
                <w:sz w:val="24"/>
                <w:szCs w:val="24"/>
              </w:rPr>
              <w:t>分。注：响应文件中提供合同关键页。时间以合同签订时间为准，合同中须体现相关内容，未能体现的视为无效业绩。</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vAlign w:val="center"/>
          </w:tcPr>
          <w:p>
            <w:pPr>
              <w:jc w:val="center"/>
              <w:rPr>
                <w:rFonts w:hint="eastAsia" w:ascii="仿宋_GB2312" w:hAnsi="仿宋_GB2312" w:eastAsia="仿宋_GB2312" w:cs="仿宋_GB2312"/>
                <w:sz w:val="24"/>
                <w:szCs w:val="24"/>
              </w:rPr>
            </w:pP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综合实力 (</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.0分)</w:t>
            </w:r>
          </w:p>
        </w:tc>
        <w:tc>
          <w:tcPr>
            <w:tcW w:w="5076" w:type="dxa"/>
          </w:tcPr>
          <w:p>
            <w:pPr>
              <w:pStyle w:val="6"/>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1、供应商具有有效的质量管理体系认证证书，得</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分； 2、供应商具有有效的环境管理体系认证证书，得</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分； 3、供应商具有有效的职业健康安全管理体系认证证书的，得</w:t>
            </w: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分。 注：响应文件中须提供认证证书扫描件及相应证书在全国认证认可信息公共服务平台(http://cx.cnca.cn/CertECloud/index/index/page)查询页面截图，未按要求提供相应得分项不得分。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389" w:hRule="atLeast"/>
        </w:trPr>
        <w:tc>
          <w:tcPr>
            <w:tcW w:w="922" w:type="dxa"/>
            <w:vMerge w:val="continue"/>
            <w:vAlign w:val="center"/>
          </w:tcPr>
          <w:p>
            <w:pPr>
              <w:jc w:val="center"/>
              <w:rPr>
                <w:rFonts w:hint="eastAsia" w:ascii="仿宋_GB2312" w:hAnsi="仿宋_GB2312" w:eastAsia="仿宋_GB2312" w:cs="仿宋_GB2312"/>
                <w:sz w:val="24"/>
                <w:szCs w:val="24"/>
              </w:rPr>
            </w:pP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拟投入人员实力 (1</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.0分)</w:t>
            </w:r>
          </w:p>
        </w:tc>
        <w:tc>
          <w:tcPr>
            <w:tcW w:w="5076" w:type="dxa"/>
          </w:tcPr>
          <w:p>
            <w:pPr>
              <w:pStyle w:val="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根据供应商拟投入人员的职称或资格进行评分</w:t>
            </w:r>
            <w:r>
              <w:rPr>
                <w:rFonts w:hint="eastAsia" w:ascii="仿宋_GB2312" w:hAnsi="仿宋_GB2312" w:eastAsia="仿宋_GB2312" w:cs="仿宋_GB2312"/>
                <w:sz w:val="24"/>
                <w:szCs w:val="24"/>
                <w:lang w:eastAsia="zh-CN"/>
              </w:rPr>
              <w:t>：</w:t>
            </w:r>
          </w:p>
          <w:p>
            <w:pPr>
              <w:pStyle w:val="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1、拟派项目负责人具有工程管理类专业高级工程师或以上职称的，得</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分，只计1人</w:t>
            </w:r>
            <w:r>
              <w:rPr>
                <w:rFonts w:hint="eastAsia" w:ascii="仿宋_GB2312" w:hAnsi="仿宋_GB2312" w:eastAsia="仿宋_GB2312" w:cs="仿宋_GB2312"/>
                <w:sz w:val="24"/>
                <w:szCs w:val="24"/>
                <w:lang w:eastAsia="zh-CN"/>
              </w:rPr>
              <w:t>。</w:t>
            </w:r>
          </w:p>
          <w:p>
            <w:pPr>
              <w:pStyle w:val="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2、拟派项目技术负责人具有市政相关专业高级工程师或以上职称的，得</w:t>
            </w: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分，只计1人</w:t>
            </w:r>
            <w:r>
              <w:rPr>
                <w:rFonts w:hint="eastAsia" w:ascii="仿宋_GB2312" w:hAnsi="仿宋_GB2312" w:eastAsia="仿宋_GB2312" w:cs="仿宋_GB2312"/>
                <w:sz w:val="24"/>
                <w:szCs w:val="24"/>
                <w:lang w:eastAsia="zh-CN"/>
              </w:rPr>
              <w:t>。</w:t>
            </w:r>
          </w:p>
          <w:p>
            <w:pPr>
              <w:pStyle w:val="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3、拟派项目安全管理人员具有</w:t>
            </w:r>
            <w:r>
              <w:rPr>
                <w:rFonts w:hint="eastAsia" w:ascii="仿宋_GB2312" w:hAnsi="仿宋_GB2312" w:eastAsia="仿宋_GB2312" w:cs="仿宋_GB2312"/>
                <w:sz w:val="24"/>
                <w:szCs w:val="24"/>
                <w:lang w:val="en-US" w:eastAsia="zh-CN"/>
              </w:rPr>
              <w:t>注册安全工程师</w:t>
            </w:r>
            <w:r>
              <w:rPr>
                <w:rFonts w:hint="eastAsia" w:ascii="仿宋_GB2312" w:hAnsi="仿宋_GB2312" w:eastAsia="仿宋_GB2312" w:cs="仿宋_GB2312"/>
                <w:sz w:val="24"/>
                <w:szCs w:val="24"/>
              </w:rPr>
              <w:t>职称的，得3分，只计</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人</w:t>
            </w:r>
            <w:r>
              <w:rPr>
                <w:rFonts w:hint="eastAsia" w:ascii="仿宋_GB2312" w:hAnsi="仿宋_GB2312" w:eastAsia="仿宋_GB2312" w:cs="仿宋_GB2312"/>
                <w:sz w:val="24"/>
                <w:szCs w:val="24"/>
                <w:lang w:eastAsia="zh-CN"/>
              </w:rPr>
              <w:t>。</w:t>
            </w:r>
          </w:p>
          <w:p>
            <w:pPr>
              <w:pStyle w:val="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4、拟派质量管理技术人员具有市政</w:t>
            </w:r>
            <w:r>
              <w:rPr>
                <w:rFonts w:hint="eastAsia" w:ascii="仿宋_GB2312" w:hAnsi="仿宋_GB2312" w:eastAsia="仿宋_GB2312" w:cs="仿宋_GB2312"/>
                <w:sz w:val="24"/>
                <w:szCs w:val="24"/>
                <w:lang w:val="en-US" w:eastAsia="zh-CN"/>
              </w:rPr>
              <w:t>相关</w:t>
            </w:r>
            <w:r>
              <w:rPr>
                <w:rFonts w:hint="eastAsia" w:ascii="仿宋_GB2312" w:hAnsi="仿宋_GB2312" w:eastAsia="仿宋_GB2312" w:cs="仿宋_GB2312"/>
                <w:sz w:val="24"/>
                <w:szCs w:val="24"/>
              </w:rPr>
              <w:t>专业工程师或以上职称的，得</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分，只计1人</w:t>
            </w:r>
            <w:r>
              <w:rPr>
                <w:rFonts w:hint="eastAsia" w:ascii="仿宋_GB2312" w:hAnsi="仿宋_GB2312" w:eastAsia="仿宋_GB2312" w:cs="仿宋_GB2312"/>
                <w:sz w:val="24"/>
                <w:szCs w:val="24"/>
                <w:lang w:val="en-US" w:eastAsia="zh-CN"/>
              </w:rPr>
              <w:t>。</w:t>
            </w:r>
          </w:p>
          <w:p>
            <w:pPr>
              <w:pStyle w:val="6"/>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注:1、以上人员须提供相关证书复印件加盖公章</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2、以上人员岗位不得兼任</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3、提供供应商为其购买的近3个月任意1个月的社保证明文件复印件并加盖供应商公章作为评审依据，不提供不得分。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投标报价</w:t>
            </w:r>
          </w:p>
        </w:tc>
        <w:tc>
          <w:tcPr>
            <w:tcW w:w="2307" w:type="dxa"/>
            <w:vAlign w:val="center"/>
          </w:tcPr>
          <w:p>
            <w:pPr>
              <w:pStyle w:val="6"/>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投标报价得分 (10.0分)</w:t>
            </w:r>
          </w:p>
        </w:tc>
        <w:tc>
          <w:tcPr>
            <w:tcW w:w="5076" w:type="dxa"/>
          </w:tcPr>
          <w:p>
            <w:pPr>
              <w:pStyle w:val="6"/>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8714E4"/>
    <w:rsid w:val="0C473F3E"/>
    <w:rsid w:val="188714E4"/>
    <w:rsid w:val="19F966E4"/>
    <w:rsid w:val="1D77549B"/>
    <w:rsid w:val="22A44330"/>
    <w:rsid w:val="38892B83"/>
    <w:rsid w:val="3B14422C"/>
    <w:rsid w:val="3DD2789D"/>
    <w:rsid w:val="3F49782C"/>
    <w:rsid w:val="46315CB6"/>
    <w:rsid w:val="4845655F"/>
    <w:rsid w:val="54436778"/>
    <w:rsid w:val="60A25121"/>
    <w:rsid w:val="6BC4042B"/>
    <w:rsid w:val="72DB18FF"/>
    <w:rsid w:val="75080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9" w:lineRule="exact"/>
      <w:ind w:firstLine="420" w:firstLineChars="200"/>
      <w:jc w:val="both"/>
    </w:pPr>
    <w:rPr>
      <w:rFonts w:ascii="Calibri" w:hAnsi="Calibri" w:eastAsia="仿宋_GB2312" w:cs="Times New Roman"/>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afterLines="0" w:afterAutospacing="0"/>
      <w:ind w:left="420" w:leftChars="200"/>
    </w:pPr>
  </w:style>
  <w:style w:type="paragraph" w:styleId="3">
    <w:name w:val="Body Text First Indent 2"/>
    <w:basedOn w:val="2"/>
    <w:qFormat/>
    <w:uiPriority w:val="0"/>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宋体" w:cs="Times New Roman"/>
      <w:kern w:val="2"/>
      <w:sz w:val="21"/>
      <w:szCs w:val="24"/>
      <w:lang w:val="en-US" w:eastAsia="zh-CN" w:bidi="ar"/>
    </w:rPr>
  </w:style>
  <w:style w:type="paragraph" w:customStyle="1" w:styleId="6">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1881</Words>
  <Characters>1913</Characters>
  <Lines>0</Lines>
  <Paragraphs>0</Paragraphs>
  <TotalTime>0</TotalTime>
  <ScaleCrop>false</ScaleCrop>
  <LinksUpToDate>false</LinksUpToDate>
  <CharactersWithSpaces>1937</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2026-10-23T07:23:00Z</dcterms:created>
  <dc:creator>黄小清</dc:creator>
  <cp:lastModifiedBy>陈景航</cp:lastModifiedBy>
  <dcterms:modified xsi:type="dcterms:W3CDTF">2026-11-02T09:36:43Z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82D17202B06C49E3B0374A949BF2D040</vt:lpwstr>
  </property>
  <property fmtid="{D5CDD505-2E9C-101B-9397-08002B2CF9AE}" pid="4" name="KSOTemplateDocerSaveRecord">
    <vt:lpwstr>eyJoZGlkIjoiMzI3OTFjZGZjNmI1YmQyOWJkZDQ1Y2RjY2QwZThmNDAiLCJ1c2VySWQiOiIxNzI0NDYyOTk2In0=</vt:lpwstr>
  </property>
</Properties>
</file>