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6</w:t>
      </w:r>
    </w:p>
    <w:p>
      <w:pPr>
        <w:spacing w:before="192" w:line="225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样章一（横琴粤澳深度合作区执行委员会发文）</w:t>
      </w:r>
    </w:p>
    <w:p>
      <w:pPr>
        <w:spacing w:line="258" w:lineRule="auto"/>
        <w:rPr>
          <w:rFonts w:cs="Times New Roman"/>
        </w:rPr>
      </w:pPr>
    </w:p>
    <w:p>
      <w:pPr>
        <w:spacing w:line="258" w:lineRule="auto"/>
        <w:rPr>
          <w:rFonts w:cs="Times New Roman"/>
        </w:rPr>
      </w:pPr>
    </w:p>
    <w:p>
      <w:pPr>
        <w:pStyle w:val="2"/>
        <w:spacing w:before="176" w:line="222" w:lineRule="auto"/>
        <w:ind w:left="2584"/>
        <w:rPr>
          <w:rFonts w:hint="eastAsia" w:ascii="仿宋_GB2312" w:hAnsi="仿宋_GB2312" w:cs="仿宋_GB2312"/>
          <w:spacing w:val="5"/>
          <w:szCs w:val="32"/>
        </w:rPr>
      </w:pPr>
      <w:r>
        <w:rPr>
          <w:rFonts w:hint="eastAsia" w:ascii="仿宋_GB2312" w:hAnsi="仿宋_GB2312" w:cs="仿宋_GB2312"/>
          <w:spacing w:val="5"/>
          <w:szCs w:val="32"/>
        </w:rPr>
        <w:t>粤澳深合执字〔2024〕</w:t>
      </w:r>
      <w:r>
        <w:rPr>
          <w:rFonts w:hint="eastAsia" w:ascii="仿宋_GB2312" w:hAnsi="仿宋_GB2312" w:cs="仿宋_GB2312"/>
          <w:spacing w:val="51"/>
          <w:szCs w:val="32"/>
        </w:rPr>
        <w:t xml:space="preserve"> </w:t>
      </w:r>
      <w:r>
        <w:rPr>
          <w:rFonts w:hint="eastAsia" w:ascii="仿宋_GB2312" w:hAnsi="仿宋_GB2312" w:cs="仿宋_GB2312"/>
          <w:spacing w:val="5"/>
          <w:szCs w:val="32"/>
        </w:rPr>
        <w:t>号</w:t>
      </w:r>
    </w:p>
    <w:p>
      <w:pPr>
        <w:pStyle w:val="3"/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关于印发《横琴粤澳深度合作区****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管理规定》的通知</w:t>
      </w:r>
    </w:p>
    <w:p>
      <w:pPr>
        <w:spacing w:line="339" w:lineRule="auto"/>
        <w:rPr>
          <w:rFonts w:cs="Times New Roman"/>
        </w:rPr>
      </w:pPr>
    </w:p>
    <w:p>
      <w:pPr>
        <w:spacing w:line="339" w:lineRule="auto"/>
        <w:rPr>
          <w:rFonts w:cs="Times New Roman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执委会各局：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《横琴粤澳深度合作区****管理规定》已经合作区执委会会议审议通过，现印发给你们，请认真贯彻执行。执行中遇到的问题，请径向合作区法律事务局反映。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276" w:lineRule="auto"/>
        <w:rPr>
          <w:rFonts w:cs="Times New Roman"/>
        </w:rPr>
      </w:pPr>
    </w:p>
    <w:p>
      <w:pPr>
        <w:spacing w:line="276" w:lineRule="auto"/>
        <w:rPr>
          <w:rFonts w:cs="Times New Roman"/>
        </w:rPr>
      </w:pPr>
    </w:p>
    <w:p>
      <w:pPr>
        <w:spacing w:line="276" w:lineRule="auto"/>
        <w:rPr>
          <w:rFonts w:cs="Times New Roman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横琴粤澳深度合作区执行委员会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szCs w:val="32"/>
        </w:rPr>
        <w:t>（印章）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cs="仿宋_GB2312"/>
          <w:szCs w:val="32"/>
        </w:rPr>
        <w:t>2024年 月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szCs w:val="32"/>
        </w:rPr>
        <w:sectPr>
          <w:footerReference r:id="rId5" w:type="default"/>
          <w:pgSz w:w="11905" w:h="16838"/>
          <w:pgMar w:top="2041" w:right="1531" w:bottom="2041" w:left="1531" w:header="0" w:footer="1514" w:gutter="0"/>
          <w:pgNumType w:fmt="decimal"/>
          <w:cols w:space="0" w:num="1"/>
          <w:rtlGutter w:val="0"/>
          <w:docGrid w:linePitch="0" w:charSpace="0"/>
        </w:sectPr>
      </w:pPr>
    </w:p>
    <w:p>
      <w:pPr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  /2024号执行委员会规范性文件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横琴粤澳深度合作区****管理规定</w:t>
      </w:r>
    </w:p>
    <w:p>
      <w:pPr>
        <w:spacing w:line="287" w:lineRule="auto"/>
        <w:rPr>
          <w:rFonts w:cs="Times New Roman"/>
        </w:rPr>
      </w:pPr>
    </w:p>
    <w:p>
      <w:pPr>
        <w:spacing w:line="287" w:lineRule="auto"/>
        <w:rPr>
          <w:rFonts w:cs="Times New Roman"/>
        </w:rPr>
      </w:pPr>
    </w:p>
    <w:p>
      <w:pPr>
        <w:spacing w:before="101" w:line="232" w:lineRule="auto"/>
        <w:ind w:left="38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7"/>
          <w:sz w:val="31"/>
          <w:szCs w:val="31"/>
        </w:rPr>
        <w:t>目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  </w:t>
      </w:r>
      <w:r>
        <w:rPr>
          <w:rFonts w:ascii="楷体" w:hAnsi="楷体" w:eastAsia="楷体" w:cs="楷体"/>
          <w:spacing w:val="-37"/>
          <w:sz w:val="31"/>
          <w:szCs w:val="31"/>
        </w:rPr>
        <w:t>录</w:t>
      </w:r>
    </w:p>
    <w:p>
      <w:pPr>
        <w:spacing w:before="191" w:line="578" w:lineRule="exact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position w:val="19"/>
          <w:sz w:val="31"/>
          <w:szCs w:val="31"/>
        </w:rPr>
        <w:t>第一章</w:t>
      </w:r>
      <w:r>
        <w:rPr>
          <w:rFonts w:ascii="楷体" w:hAnsi="楷体" w:eastAsia="楷体" w:cs="楷体"/>
          <w:spacing w:val="20"/>
          <w:position w:val="1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3"/>
          <w:position w:val="19"/>
          <w:sz w:val="31"/>
          <w:szCs w:val="31"/>
        </w:rPr>
        <w:t>总则</w:t>
      </w:r>
    </w:p>
    <w:p>
      <w:pPr>
        <w:spacing w:before="1" w:line="229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第二章  起草</w:t>
      </w:r>
    </w:p>
    <w:p>
      <w:pPr>
        <w:spacing w:before="192" w:line="230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第三章</w:t>
      </w:r>
    </w:p>
    <w:p>
      <w:pPr>
        <w:spacing w:before="193" w:line="230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第四章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4"/>
          <w:sz w:val="31"/>
          <w:szCs w:val="31"/>
        </w:rPr>
        <w:t>附则</w:t>
      </w:r>
    </w:p>
    <w:p>
      <w:pPr>
        <w:spacing w:line="334" w:lineRule="auto"/>
        <w:rPr>
          <w:rFonts w:cs="Times New Roman"/>
        </w:rPr>
      </w:pPr>
    </w:p>
    <w:p>
      <w:pPr>
        <w:spacing w:line="334" w:lineRule="auto"/>
        <w:rPr>
          <w:rFonts w:cs="Times New Roman"/>
        </w:rPr>
      </w:pPr>
    </w:p>
    <w:p>
      <w:pPr>
        <w:spacing w:before="100" w:line="579" w:lineRule="exact"/>
        <w:ind w:left="39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9"/>
          <w:sz w:val="31"/>
          <w:szCs w:val="31"/>
        </w:rPr>
        <w:t>第一章</w:t>
      </w:r>
    </w:p>
    <w:p>
      <w:pPr>
        <w:spacing w:line="227" w:lineRule="auto"/>
        <w:ind w:left="39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总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则</w:t>
      </w:r>
    </w:p>
    <w:p>
      <w:pPr>
        <w:spacing w:line="336" w:lineRule="auto"/>
        <w:rPr>
          <w:rFonts w:cs="Times New Roman"/>
        </w:rPr>
      </w:pPr>
    </w:p>
    <w:p>
      <w:pPr>
        <w:spacing w:line="337" w:lineRule="auto"/>
        <w:rPr>
          <w:rFonts w:cs="Times New Roman"/>
        </w:rPr>
      </w:pPr>
    </w:p>
    <w:p>
      <w:pPr>
        <w:spacing w:before="101" w:line="578" w:lineRule="exact"/>
        <w:ind w:left="39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9"/>
          <w:sz w:val="31"/>
          <w:szCs w:val="31"/>
        </w:rPr>
        <w:t>第一条</w:t>
      </w:r>
    </w:p>
    <w:p>
      <w:pPr>
        <w:spacing w:before="1" w:line="228" w:lineRule="auto"/>
        <w:ind w:left="37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制定目的</w:t>
      </w:r>
    </w:p>
    <w:p>
      <w:pPr>
        <w:spacing w:line="262" w:lineRule="auto"/>
        <w:rPr>
          <w:rFonts w:cs="Times New Roman"/>
        </w:rPr>
      </w:pPr>
    </w:p>
    <w:p>
      <w:pPr>
        <w:spacing w:line="263" w:lineRule="auto"/>
        <w:rPr>
          <w:rFonts w:cs="Times New Roman"/>
        </w:rPr>
      </w:pPr>
    </w:p>
    <w:p>
      <w:pPr>
        <w:spacing w:line="263" w:lineRule="auto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为了加强横琴粤澳深度合作区（下称合作区）执行委员会（下称执委会）**管理工作，促进依法行政，保障公民、法人和其他组织合法权益，根据国家有关法律、行政法规和规章，结合合作区实际，制定本规定。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  <w:sectPr>
          <w:footerReference r:id="rId6" w:type="default"/>
          <w:pgSz w:w="11905" w:h="16838"/>
          <w:pgMar w:top="2041" w:right="1531" w:bottom="2041" w:left="1531" w:header="0" w:footer="1514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样章二（以横琴粤澳深度合作区法律事务局发文为例）</w:t>
      </w:r>
    </w:p>
    <w:p>
      <w:pPr>
        <w:spacing w:line="256" w:lineRule="auto"/>
        <w:rPr>
          <w:rFonts w:cs="Times New Roman"/>
        </w:rPr>
      </w:pPr>
    </w:p>
    <w:p>
      <w:pPr>
        <w:spacing w:line="256" w:lineRule="auto"/>
        <w:rPr>
          <w:rFonts w:cs="Times New Roman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关于印发《横琴粤澳深度合作区**规定》的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通知</w:t>
      </w:r>
    </w:p>
    <w:p>
      <w:pPr>
        <w:pStyle w:val="2"/>
        <w:spacing w:before="176" w:line="222" w:lineRule="auto"/>
        <w:ind w:left="2584"/>
        <w:rPr>
          <w:rFonts w:ascii="仿宋_GB2312" w:hAnsi="仿宋_GB2312" w:cs="仿宋_GB2312"/>
          <w:spacing w:val="5"/>
          <w:szCs w:val="32"/>
        </w:rPr>
      </w:pPr>
      <w:r>
        <w:rPr>
          <w:rFonts w:hint="eastAsia" w:ascii="仿宋_GB2312" w:hAnsi="仿宋_GB2312" w:cs="仿宋_GB2312"/>
          <w:spacing w:val="5"/>
          <w:szCs w:val="32"/>
        </w:rPr>
        <w:t>粤澳深合法务字〔2024〕 号</w:t>
      </w:r>
    </w:p>
    <w:p>
      <w:pPr>
        <w:spacing w:line="341" w:lineRule="auto"/>
        <w:rPr>
          <w:rFonts w:cs="Times New Roman"/>
        </w:rPr>
      </w:pPr>
    </w:p>
    <w:p>
      <w:pPr>
        <w:spacing w:line="342" w:lineRule="auto"/>
        <w:rPr>
          <w:rFonts w:cs="Times New Roman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执委会各局：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《横琴粤澳深度合作区**规定》已经合作区执委会会议审议通过，现印发给你们，请认真贯彻执行。执行中遇到的问题，请径向合作区法律事务局反映。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横琴粤澳深度合作区法律事务局</w:t>
      </w:r>
    </w:p>
    <w:p>
      <w:pPr>
        <w:spacing w:line="56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cs="仿宋_GB2312"/>
          <w:szCs w:val="32"/>
        </w:rPr>
        <w:t>（印章）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cs="仿宋_GB2312"/>
          <w:szCs w:val="32"/>
        </w:rPr>
        <w:t>2024年  月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日</w:t>
      </w:r>
    </w:p>
    <w:p>
      <w:pPr>
        <w:spacing w:line="560" w:lineRule="exact"/>
        <w:jc w:val="right"/>
        <w:rPr>
          <w:rFonts w:ascii="仿宋_GB2312" w:hAnsi="仿宋_GB2312" w:cs="仿宋_GB2312"/>
          <w:szCs w:val="32"/>
        </w:rPr>
        <w:sectPr>
          <w:footerReference r:id="rId7" w:type="default"/>
          <w:pgSz w:w="11905" w:h="16838"/>
          <w:pgMar w:top="2041" w:right="1531" w:bottom="2041" w:left="1531" w:header="0" w:footer="1514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347" w:lineRule="auto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  /2024号法律事务局规范性文件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横琴粤澳深度合作区**规定</w:t>
      </w:r>
    </w:p>
    <w:p>
      <w:pPr>
        <w:spacing w:line="286" w:lineRule="auto"/>
        <w:rPr>
          <w:rFonts w:cs="Times New Roman"/>
        </w:rPr>
      </w:pPr>
    </w:p>
    <w:p>
      <w:pPr>
        <w:spacing w:line="286" w:lineRule="auto"/>
        <w:rPr>
          <w:rFonts w:cs="Times New Roman"/>
        </w:rPr>
      </w:pPr>
    </w:p>
    <w:p>
      <w:pPr>
        <w:spacing w:before="101" w:line="232" w:lineRule="auto"/>
        <w:ind w:left="38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7"/>
          <w:sz w:val="31"/>
          <w:szCs w:val="31"/>
        </w:rPr>
        <w:t>目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  </w:t>
      </w:r>
      <w:r>
        <w:rPr>
          <w:rFonts w:ascii="楷体" w:hAnsi="楷体" w:eastAsia="楷体" w:cs="楷体"/>
          <w:spacing w:val="-37"/>
          <w:sz w:val="31"/>
          <w:szCs w:val="31"/>
        </w:rPr>
        <w:t>录</w:t>
      </w:r>
    </w:p>
    <w:p>
      <w:pPr>
        <w:spacing w:before="188" w:line="230" w:lineRule="auto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第一章</w:t>
      </w:r>
      <w:r>
        <w:rPr>
          <w:rFonts w:ascii="楷体" w:hAnsi="楷体" w:eastAsia="楷体" w:cs="楷体"/>
          <w:spacing w:val="20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3"/>
          <w:sz w:val="31"/>
          <w:szCs w:val="31"/>
        </w:rPr>
        <w:t>总则</w:t>
      </w:r>
    </w:p>
    <w:p>
      <w:pPr>
        <w:spacing w:before="194" w:line="579" w:lineRule="exact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position w:val="19"/>
          <w:sz w:val="31"/>
          <w:szCs w:val="31"/>
        </w:rPr>
        <w:t>第二章</w:t>
      </w:r>
    </w:p>
    <w:p>
      <w:pPr>
        <w:spacing w:before="1" w:line="229" w:lineRule="auto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第三章</w:t>
      </w:r>
    </w:p>
    <w:p>
      <w:pPr>
        <w:spacing w:before="192" w:line="230" w:lineRule="auto"/>
        <w:ind w:left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第四章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4"/>
          <w:sz w:val="31"/>
          <w:szCs w:val="31"/>
        </w:rPr>
        <w:t>附则</w:t>
      </w:r>
    </w:p>
    <w:p>
      <w:pPr>
        <w:spacing w:line="334" w:lineRule="auto"/>
        <w:rPr>
          <w:rFonts w:cs="Times New Roman"/>
        </w:rPr>
      </w:pPr>
    </w:p>
    <w:p>
      <w:pPr>
        <w:spacing w:line="334" w:lineRule="auto"/>
        <w:rPr>
          <w:rFonts w:cs="Times New Roman"/>
        </w:rPr>
      </w:pPr>
    </w:p>
    <w:p>
      <w:pPr>
        <w:spacing w:before="101" w:line="579" w:lineRule="exact"/>
        <w:ind w:left="39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9"/>
          <w:sz w:val="31"/>
          <w:szCs w:val="31"/>
        </w:rPr>
        <w:t>第一章</w:t>
      </w:r>
    </w:p>
    <w:p>
      <w:pPr>
        <w:spacing w:line="227" w:lineRule="auto"/>
        <w:ind w:left="39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总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则</w:t>
      </w:r>
    </w:p>
    <w:p>
      <w:pPr>
        <w:spacing w:line="335" w:lineRule="auto"/>
        <w:rPr>
          <w:rFonts w:cs="Times New Roman"/>
        </w:rPr>
      </w:pPr>
    </w:p>
    <w:p>
      <w:pPr>
        <w:spacing w:line="335" w:lineRule="auto"/>
        <w:rPr>
          <w:rFonts w:cs="Times New Roman"/>
        </w:rPr>
      </w:pPr>
    </w:p>
    <w:p>
      <w:pPr>
        <w:spacing w:before="101" w:line="701" w:lineRule="exact"/>
        <w:ind w:left="39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9"/>
          <w:sz w:val="31"/>
          <w:szCs w:val="31"/>
        </w:rPr>
        <w:t>第一条</w:t>
      </w:r>
    </w:p>
    <w:p>
      <w:pPr>
        <w:spacing w:before="1" w:line="228" w:lineRule="auto"/>
        <w:ind w:left="37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制定目的</w:t>
      </w:r>
    </w:p>
    <w:p>
      <w:pPr>
        <w:spacing w:line="241" w:lineRule="auto"/>
        <w:rPr>
          <w:rFonts w:cs="Times New Roman"/>
        </w:rPr>
      </w:pPr>
    </w:p>
    <w:p>
      <w:pPr>
        <w:spacing w:line="242" w:lineRule="auto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了加强横琴粤澳深度合作区（下称“合作区”）执行委员会（下称“执委会”）**管理工作，促进依法行政，保障公民、法人和其他组织合法权益，根据国家有关法律、行政法规和规章，结合合作区实际，制定本规定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  <w:sectPr>
          <w:footerReference r:id="rId8" w:type="default"/>
          <w:pgSz w:w="11905" w:h="16838"/>
          <w:pgMar w:top="2041" w:right="1531" w:bottom="2041" w:left="1531" w:header="0" w:footer="1514" w:gutter="0"/>
          <w:pgNumType w:fmt="decimal"/>
          <w:cols w:space="0" w:num="1"/>
          <w:rtlGutter w:val="0"/>
          <w:docGrid w:linePitch="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84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42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W1u+M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fou2YKHb98/3b5&#10;8evy8yvBHQRqrJ8jbmcRGdq3psXYDPcel5F3WzoVf8GIwA95z1d5RRsIj49m09lsDBeHbzgAP3t8&#10;bp0P74RRJBo5dehfkpWdtj50oUNIzKbNppYy9VBq0uT05vWbcXpw9QBc6hgr0jT0MJFSV3q0Qrtv&#10;e557U5xB05luUrzlmxqlbJkPD8xhNFA+lifc41NKg5SmtyipjPvyr/sYj47BS0mDUcupxmZRIt9r&#10;dBKAYTDcYOwHQx/VncHsTrCUlicTD1yQg1k6oz5jo1YxB1xMc2TKaRjMu9CNOzaSi9UqBR2tqw9V&#10;9wBzaFnY6p3lMU2UytvVMUDapHgUqFMFnYoHTGLqWb81cdT/PKeox3+K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bW74z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42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51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43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H8aY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QH8aY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43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8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44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Ueg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J0Ueg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44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32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45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45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2FDD"/>
    <w:rsid w:val="707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2024-11-06T01:35:00Z</dcterms:created>
  <dc:creator>zhanghqva</dc:creator>
  <cp:lastModifiedBy>zhanghqva</cp:lastModifiedBy>
  <dcterms:modified xsi:type="dcterms:W3CDTF">2024-11-06T01:35:46Z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E27865FA9BAB4E77B205ABC7A4246E6D</vt:lpwstr>
  </property>
</Properties>
</file>