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30" w:lineRule="auto"/>
        <w:ind w:left="2"/>
        <w:outlineLvl w:val="0"/>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4"/>
          <w:sz w:val="31"/>
          <w:szCs w:val="31"/>
        </w:rPr>
        <w:t>8</w:t>
      </w:r>
    </w:p>
    <w:p>
      <w:pPr>
        <w:spacing w:line="579" w:lineRule="exact"/>
        <w:jc w:val="center"/>
        <w:rPr>
          <w:rFonts w:hint="eastAsia"/>
        </w:rPr>
      </w:pPr>
      <w:r>
        <w:rPr>
          <w:rFonts w:hint="eastAsia" w:ascii="方正小标宋简体" w:hAnsi="方正小标宋简体" w:eastAsia="方正小标宋简体" w:cs="方正小标宋简体"/>
          <w:bCs/>
          <w:sz w:val="44"/>
          <w:szCs w:val="44"/>
        </w:rPr>
        <w:t>规范性文件制定流程表</w:t>
      </w:r>
    </w:p>
    <w:tbl>
      <w:tblPr>
        <w:tblStyle w:val="7"/>
        <w:tblpPr w:leftFromText="180" w:rightFromText="180" w:vertAnchor="text" w:horzAnchor="page" w:tblpX="1457" w:tblpY="922"/>
        <w:tblOverlap w:val="never"/>
        <w:tblW w:w="1389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609"/>
        <w:gridCol w:w="114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50" w:type="dxa"/>
            <w:shd w:val="clear" w:color="auto" w:fill="auto"/>
            <w:noWrap w:val="0"/>
            <w:vAlign w:val="top"/>
          </w:tcPr>
          <w:p>
            <w:pPr>
              <w:spacing w:before="240" w:line="222" w:lineRule="auto"/>
              <w:ind w:left="202"/>
              <w:rPr>
                <w:rFonts w:ascii="黑体" w:hAnsi="黑体" w:eastAsia="黑体" w:cs="黑体"/>
                <w:sz w:val="24"/>
                <w:szCs w:val="24"/>
              </w:rPr>
            </w:pPr>
            <w:bookmarkStart w:id="0" w:name="_GoBack"/>
            <w:r>
              <w:rPr>
                <w:rFonts w:ascii="黑体" w:hAnsi="黑体" w:eastAsia="黑体" w:cs="黑体"/>
                <w:spacing w:val="-10"/>
                <w:sz w:val="24"/>
                <w:szCs w:val="24"/>
              </w:rPr>
              <w:t>阶段</w:t>
            </w:r>
          </w:p>
        </w:tc>
        <w:tc>
          <w:tcPr>
            <w:tcW w:w="1609" w:type="dxa"/>
            <w:shd w:val="clear" w:color="auto" w:fill="auto"/>
            <w:noWrap w:val="0"/>
            <w:vAlign w:val="top"/>
          </w:tcPr>
          <w:p>
            <w:pPr>
              <w:spacing w:before="239" w:line="222" w:lineRule="auto"/>
              <w:ind w:left="335"/>
              <w:rPr>
                <w:rFonts w:ascii="黑体" w:hAnsi="黑体" w:eastAsia="黑体" w:cs="黑体"/>
                <w:sz w:val="24"/>
                <w:szCs w:val="24"/>
              </w:rPr>
            </w:pPr>
            <w:r>
              <w:rPr>
                <w:rFonts w:ascii="黑体" w:hAnsi="黑体" w:eastAsia="黑体" w:cs="黑体"/>
                <w:spacing w:val="-4"/>
                <w:sz w:val="24"/>
                <w:szCs w:val="24"/>
              </w:rPr>
              <w:t>具体事项</w:t>
            </w:r>
          </w:p>
        </w:tc>
        <w:tc>
          <w:tcPr>
            <w:tcW w:w="11439" w:type="dxa"/>
            <w:shd w:val="clear" w:color="auto" w:fill="auto"/>
            <w:noWrap w:val="0"/>
            <w:vAlign w:val="top"/>
          </w:tcPr>
          <w:p>
            <w:pPr>
              <w:spacing w:before="240" w:line="222" w:lineRule="auto"/>
              <w:ind w:left="5248"/>
              <w:rPr>
                <w:rFonts w:ascii="黑体" w:hAnsi="黑体" w:eastAsia="黑体" w:cs="黑体"/>
                <w:sz w:val="24"/>
                <w:szCs w:val="24"/>
              </w:rPr>
            </w:pPr>
            <w:r>
              <w:rPr>
                <w:rFonts w:ascii="黑体" w:hAnsi="黑体" w:eastAsia="黑体" w:cs="黑体"/>
                <w:spacing w:val="-3"/>
                <w:sz w:val="24"/>
                <w:szCs w:val="24"/>
              </w:rPr>
              <w:t>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0" w:type="dxa"/>
            <w:vMerge w:val="restart"/>
            <w:tcBorders>
              <w:bottom w:val="nil"/>
            </w:tcBorders>
            <w:shd w:val="clear" w:color="auto" w:fill="auto"/>
            <w:noWrap w:val="0"/>
            <w:textDirection w:val="tbRlV"/>
            <w:vAlign w:val="center"/>
          </w:tcPr>
          <w:p>
            <w:pPr>
              <w:jc w:val="center"/>
              <w:rPr>
                <w:rFonts w:hint="eastAsia" w:ascii="宋体" w:hAnsi="宋体" w:eastAsia="宋体" w:cs="宋体"/>
                <w:sz w:val="24"/>
                <w:szCs w:val="24"/>
              </w:rPr>
            </w:pPr>
            <w:r>
              <w:rPr>
                <w:rFonts w:hint="eastAsia" w:ascii="黑体" w:hAnsi="黑体" w:eastAsia="黑体" w:cs="黑体"/>
                <w:sz w:val="21"/>
                <w:szCs w:val="21"/>
                <w:lang w:eastAsia="zh-Hans"/>
              </w:rPr>
              <w:t>起 草 机 构 起 草</w:t>
            </w:r>
          </w:p>
        </w:tc>
        <w:tc>
          <w:tcPr>
            <w:tcW w:w="1609" w:type="dxa"/>
            <w:shd w:val="clear" w:color="auto" w:fill="auto"/>
            <w:noWrap w:val="0"/>
            <w:vAlign w:val="center"/>
          </w:tcPr>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起草机构起草</w:t>
            </w:r>
          </w:p>
        </w:tc>
        <w:tc>
          <w:tcPr>
            <w:tcW w:w="11439" w:type="dxa"/>
            <w:shd w:val="clear" w:color="auto" w:fill="auto"/>
            <w:noWrap w:val="0"/>
            <w:vAlign w:val="center"/>
          </w:tcPr>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1.制定规范性文件，应当注重针对性和可操作性，内容相近的合并制定，严格控制规范性文件数量。</w:t>
            </w:r>
          </w:p>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2.一般不得作出有溯及既往效力的规定。</w:t>
            </w:r>
          </w:p>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3.规范性文件一般应由起草机构的法制工作人员参与起草，也可邀请或委托第三方参与起草。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850" w:type="dxa"/>
            <w:vMerge w:val="continue"/>
            <w:tcBorders>
              <w:top w:val="nil"/>
              <w:bottom w:val="nil"/>
            </w:tcBorders>
            <w:shd w:val="clear" w:color="auto" w:fill="auto"/>
            <w:noWrap w:val="0"/>
            <w:textDirection w:val="tbRlV"/>
            <w:vAlign w:val="center"/>
          </w:tcPr>
          <w:p>
            <w:pPr>
              <w:jc w:val="center"/>
              <w:rPr>
                <w:rFonts w:hint="eastAsia" w:ascii="宋体" w:hAnsi="宋体" w:eastAsia="宋体" w:cs="宋体"/>
                <w:sz w:val="24"/>
                <w:szCs w:val="24"/>
              </w:rPr>
            </w:pPr>
          </w:p>
        </w:tc>
        <w:tc>
          <w:tcPr>
            <w:tcW w:w="1609" w:type="dxa"/>
            <w:shd w:val="clear" w:color="auto" w:fill="auto"/>
            <w:noWrap w:val="0"/>
            <w:vAlign w:val="center"/>
          </w:tcPr>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内部及相关部</w:t>
            </w:r>
          </w:p>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门征求意见</w:t>
            </w:r>
          </w:p>
        </w:tc>
        <w:tc>
          <w:tcPr>
            <w:tcW w:w="11439" w:type="dxa"/>
            <w:shd w:val="clear" w:color="auto" w:fill="auto"/>
            <w:noWrap w:val="0"/>
            <w:vAlign w:val="center"/>
          </w:tcPr>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相关部门包括省派出机构、驻岛单位、澳门特区政府相关部门等。征求意见时间预留正常公文处理时间。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850" w:type="dxa"/>
            <w:vMerge w:val="continue"/>
            <w:tcBorders>
              <w:top w:val="nil"/>
            </w:tcBorders>
            <w:shd w:val="clear" w:color="auto" w:fill="auto"/>
            <w:noWrap w:val="0"/>
            <w:textDirection w:val="tbRlV"/>
            <w:vAlign w:val="center"/>
          </w:tcPr>
          <w:p>
            <w:pPr>
              <w:jc w:val="center"/>
              <w:rPr>
                <w:rFonts w:hint="eastAsia" w:ascii="宋体" w:hAnsi="宋体" w:eastAsia="宋体" w:cs="宋体"/>
                <w:sz w:val="24"/>
                <w:szCs w:val="24"/>
              </w:rPr>
            </w:pPr>
          </w:p>
        </w:tc>
        <w:tc>
          <w:tcPr>
            <w:tcW w:w="1609" w:type="dxa"/>
            <w:shd w:val="clear" w:color="auto" w:fill="auto"/>
            <w:noWrap w:val="0"/>
            <w:vAlign w:val="center"/>
          </w:tcPr>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起草机构集体</w:t>
            </w:r>
          </w:p>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审议通过</w:t>
            </w:r>
          </w:p>
        </w:tc>
        <w:tc>
          <w:tcPr>
            <w:tcW w:w="11439" w:type="dxa"/>
            <w:shd w:val="clear" w:color="auto" w:fill="auto"/>
            <w:noWrap w:val="0"/>
            <w:vAlign w:val="center"/>
          </w:tcPr>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移送合法性审核时须提供起草机构集体审议通过的相关材料。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850" w:type="dxa"/>
            <w:shd w:val="clear" w:color="auto" w:fill="auto"/>
            <w:noWrap w:val="0"/>
            <w:textDirection w:val="tbRlV"/>
            <w:vAlign w:val="center"/>
          </w:tcPr>
          <w:p>
            <w:pPr>
              <w:jc w:val="center"/>
              <w:rPr>
                <w:rFonts w:hint="eastAsia" w:ascii="宋体" w:hAnsi="宋体" w:eastAsia="宋体" w:cs="宋体"/>
                <w:sz w:val="24"/>
                <w:szCs w:val="24"/>
              </w:rPr>
            </w:pPr>
            <w:r>
              <w:rPr>
                <w:rFonts w:hint="eastAsia" w:ascii="黑体" w:hAnsi="黑体" w:eastAsia="黑体" w:cs="黑体"/>
                <w:sz w:val="21"/>
                <w:szCs w:val="21"/>
                <w:lang w:eastAsia="zh-Hans"/>
              </w:rPr>
              <w:t>合 法 性 审 核</w:t>
            </w:r>
          </w:p>
        </w:tc>
        <w:tc>
          <w:tcPr>
            <w:tcW w:w="1609" w:type="dxa"/>
            <w:shd w:val="clear" w:color="auto" w:fill="auto"/>
            <w:noWrap w:val="0"/>
            <w:vAlign w:val="center"/>
          </w:tcPr>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公开征求意见</w:t>
            </w:r>
          </w:p>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稿移送合法性</w:t>
            </w:r>
          </w:p>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审核</w:t>
            </w:r>
          </w:p>
        </w:tc>
        <w:tc>
          <w:tcPr>
            <w:tcW w:w="11439" w:type="dxa"/>
            <w:shd w:val="clear" w:color="auto" w:fill="auto"/>
            <w:noWrap w:val="0"/>
            <w:vAlign w:val="center"/>
          </w:tcPr>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1.起草机构移送法律事务局进行合法性审核时，应按要求提供下列材料：</w:t>
            </w:r>
          </w:p>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（一）规范性文件公开征求意见稿、起草说明、制定依据稿（上位法依据、参考依据）、政策解读文本；</w:t>
            </w:r>
          </w:p>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（二）征求意见采纳情况表、座谈会、论证会以及其他方式征求意见相关材料、各机构意见；</w:t>
            </w:r>
          </w:p>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（三）起草机构或其法律顾问出具的审核意见及起草机构集体审议通过的相关材料；</w:t>
            </w:r>
          </w:p>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（四）按照相关规定听取专家意见、开展风险评估等活动的，应当移送开展相关活动的材料；</w:t>
            </w:r>
          </w:p>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（五）其他有关材料。</w:t>
            </w:r>
          </w:p>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2.法律事务局自收到全部材料之日起 15 个工作日内完成审核。</w:t>
            </w:r>
          </w:p>
          <w:p>
            <w:pPr>
              <w:spacing w:line="400" w:lineRule="exact"/>
              <w:ind w:firstLine="480" w:firstLineChars="200"/>
              <w:jc w:val="left"/>
              <w:rPr>
                <w:rFonts w:hint="eastAsia" w:ascii="楷体" w:hAnsi="楷体" w:eastAsia="楷体" w:cs="楷体"/>
                <w:sz w:val="24"/>
                <w:szCs w:val="24"/>
              </w:rPr>
            </w:pPr>
            <w:r>
              <w:rPr>
                <w:rFonts w:hint="eastAsia" w:ascii="楷体" w:hAnsi="楷体" w:eastAsia="楷体" w:cs="楷体"/>
                <w:sz w:val="24"/>
                <w:szCs w:val="24"/>
              </w:rPr>
              <w:t>3.对审核意见有异议的，起草机构应当自收到审核意见之日起 5 个工作日内提出异议及理由，与法律事务局协商。</w:t>
            </w:r>
          </w:p>
        </w:tc>
      </w:tr>
      <w:bookmarkEnd w:id="0"/>
    </w:tbl>
    <w:p>
      <w:pPr>
        <w:sectPr>
          <w:footerReference r:id="rId5" w:type="default"/>
          <w:pgSz w:w="16838" w:h="11905" w:orient="landscape"/>
          <w:pgMar w:top="720" w:right="720" w:bottom="720" w:left="720" w:header="0" w:footer="1514" w:gutter="0"/>
          <w:pgNumType w:fmt="decimal"/>
          <w:cols w:space="0" w:num="1"/>
          <w:rtlGutter w:val="0"/>
          <w:docGrid w:linePitch="0" w:charSpace="0"/>
        </w:sectPr>
      </w:pPr>
    </w:p>
    <w:tbl>
      <w:tblPr>
        <w:tblStyle w:val="7"/>
        <w:tblW w:w="138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348"/>
        <w:gridCol w:w="11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6" w:hRule="atLeast"/>
        </w:trPr>
        <w:tc>
          <w:tcPr>
            <w:tcW w:w="850" w:type="dxa"/>
            <w:shd w:val="clear" w:color="auto" w:fill="auto"/>
            <w:noWrap w:val="0"/>
            <w:textDirection w:val="tbRlV"/>
            <w:vAlign w:val="center"/>
          </w:tcPr>
          <w:p>
            <w:pPr>
              <w:jc w:val="center"/>
              <w:rPr>
                <w:rFonts w:hint="eastAsia" w:ascii="黑体" w:hAnsi="黑体" w:eastAsia="黑体" w:cs="黑体"/>
                <w:sz w:val="21"/>
                <w:szCs w:val="21"/>
                <w:lang w:eastAsia="zh-Hans"/>
              </w:rPr>
            </w:pPr>
            <w:r>
              <w:rPr>
                <w:rFonts w:hint="eastAsia" w:ascii="黑体" w:hAnsi="黑体" w:eastAsia="黑体" w:cs="黑体"/>
                <w:sz w:val="21"/>
                <w:szCs w:val="21"/>
                <w:lang w:eastAsia="zh-Hans"/>
              </w:rPr>
              <w:t>执 委 会 审 议</w:t>
            </w:r>
          </w:p>
        </w:tc>
        <w:tc>
          <w:tcPr>
            <w:tcW w:w="1348" w:type="dxa"/>
            <w:shd w:val="clear" w:color="auto" w:fill="auto"/>
            <w:noWrap w:val="0"/>
            <w:vAlign w:val="center"/>
          </w:tcPr>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提请执委会审</w:t>
            </w:r>
          </w:p>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议及审议决定</w:t>
            </w:r>
          </w:p>
        </w:tc>
        <w:tc>
          <w:tcPr>
            <w:tcW w:w="11700" w:type="dxa"/>
            <w:shd w:val="clear" w:color="auto" w:fill="auto"/>
            <w:noWrap w:val="0"/>
            <w:vAlign w:val="center"/>
          </w:tcPr>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公开征求意见稿经过合法性审核，并由法律事务局出具符合本规定或者经修改后符合本规定的审核意见，且按照执委会议事规则经分管副主任同意后，起草机构才可以提请执委会审议。审议时，起草机构应当就制定规范性文件的目的、起草情况、合法性审核及修改情况等进行说明。对于未采纳的审核意见，起草机构应当说明理由。</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2.公开征求意见稿经执委会审议通过后，才可进行公开征求意见。</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3.有下列情形之一的，经执委会审议同意，可以不公开征求意见：</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（一）为应对和处置自然灾害、事故灾难、公共卫生事件和社会安全事件等突发事件的；</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（二）公开征求意见可能对国家安全、社会稳定、公共安全产生较大影响的；</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（三）起草过程依法需要保密的；</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（四）法律、法规、规章或者国务院文件另有规定的。</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4.符合规定可以不公开征求意见的情形，应当由起草机构提出建议，并由法律事务局进行审核。</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5.经执委会审议通过且同意可以不公开征求意见的，可直接进行签批。</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6.审议未通过，或者需要作重大修改的，应当在修改后重新进行合法性审核，必要时重新征求意见。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trPr>
        <w:tc>
          <w:tcPr>
            <w:tcW w:w="850" w:type="dxa"/>
            <w:shd w:val="clear" w:color="auto" w:fill="auto"/>
            <w:noWrap w:val="0"/>
            <w:textDirection w:val="tbRlV"/>
            <w:vAlign w:val="center"/>
          </w:tcPr>
          <w:p>
            <w:pPr>
              <w:jc w:val="center"/>
              <w:rPr>
                <w:rFonts w:hint="eastAsia" w:ascii="黑体" w:hAnsi="黑体" w:eastAsia="黑体" w:cs="黑体"/>
                <w:sz w:val="21"/>
                <w:szCs w:val="21"/>
                <w:lang w:eastAsia="zh-Hans"/>
              </w:rPr>
            </w:pPr>
            <w:r>
              <w:rPr>
                <w:rFonts w:hint="eastAsia" w:ascii="黑体" w:hAnsi="黑体" w:eastAsia="黑体" w:cs="黑体"/>
                <w:sz w:val="21"/>
                <w:szCs w:val="21"/>
                <w:lang w:eastAsia="zh-Hans"/>
              </w:rPr>
              <w:t>公 开 征 求 意 见</w:t>
            </w:r>
          </w:p>
        </w:tc>
        <w:tc>
          <w:tcPr>
            <w:tcW w:w="1348" w:type="dxa"/>
            <w:shd w:val="clear" w:color="auto" w:fill="auto"/>
            <w:noWrap w:val="0"/>
            <w:vAlign w:val="center"/>
          </w:tcPr>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向社会公开</w:t>
            </w:r>
          </w:p>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征求意见</w:t>
            </w:r>
          </w:p>
        </w:tc>
        <w:tc>
          <w:tcPr>
            <w:tcW w:w="11700" w:type="dxa"/>
            <w:shd w:val="clear" w:color="auto" w:fill="auto"/>
            <w:noWrap w:val="0"/>
            <w:vAlign w:val="center"/>
          </w:tcPr>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1.公开征求意见期限一般不得少于7个工作日。征求意见期限自公开征求意见信息发布的下一个工作日起算。法律、法规、规章或者国务院文件对征求意见另有规定的，应当从其规定。</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2.修改完善后，起草机构集体审议送审稿。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850" w:type="dxa"/>
            <w:vMerge w:val="restart"/>
            <w:tcBorders>
              <w:bottom w:val="nil"/>
            </w:tcBorders>
            <w:shd w:val="clear" w:color="auto" w:fill="auto"/>
            <w:noWrap w:val="0"/>
            <w:vAlign w:val="center"/>
          </w:tcPr>
          <w:p>
            <w:pPr>
              <w:rPr>
                <w:rFonts w:hint="eastAsia" w:ascii="黑体" w:hAnsi="黑体" w:eastAsia="黑体" w:cs="黑体"/>
                <w:sz w:val="21"/>
                <w:szCs w:val="21"/>
                <w:lang w:eastAsia="zh-Hans"/>
              </w:rPr>
            </w:pPr>
            <w:r>
              <w:rPr>
                <w:rFonts w:hint="eastAsia" w:ascii="黑体" w:hAnsi="黑体" w:eastAsia="黑体" w:cs="黑体"/>
                <w:sz w:val="21"/>
                <w:szCs w:val="21"/>
                <w:lang w:eastAsia="zh-Hans"/>
              </w:rPr>
              <w:t>再次合法性审核、送审程序与签批</w:t>
            </w:r>
          </w:p>
        </w:tc>
        <w:tc>
          <w:tcPr>
            <w:tcW w:w="1348" w:type="dxa"/>
            <w:shd w:val="clear" w:color="auto" w:fill="auto"/>
            <w:noWrap w:val="0"/>
            <w:vAlign w:val="center"/>
          </w:tcPr>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对送审稿进行</w:t>
            </w:r>
          </w:p>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合法性审核</w:t>
            </w:r>
          </w:p>
        </w:tc>
        <w:tc>
          <w:tcPr>
            <w:tcW w:w="11700" w:type="dxa"/>
            <w:shd w:val="clear" w:color="auto" w:fill="auto"/>
            <w:noWrap w:val="0"/>
            <w:vAlign w:val="center"/>
          </w:tcPr>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1.规范性文件送审稿应当由起草机构集体审议通过后，再次移送法律事务局审核。</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2.公开征求意见稿合法性审核的相关规定经适当配合后，适用规范性文件送审稿的合法性审核。</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3.起草机构移送规范性文件送审稿到法律事务局进行合法性审核时，需提供已进行公开征求意见或者组织听证的相关材料，涉及市场主体经济活动的规范性文件还应当提供公平竞争审查表。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7" w:hRule="atLeast"/>
        </w:trPr>
        <w:tc>
          <w:tcPr>
            <w:tcW w:w="850" w:type="dxa"/>
            <w:vMerge w:val="continue"/>
            <w:tcBorders>
              <w:top w:val="nil"/>
            </w:tcBorders>
            <w:shd w:val="clear" w:color="auto" w:fill="auto"/>
            <w:noWrap w:val="0"/>
            <w:vAlign w:val="center"/>
          </w:tcPr>
          <w:p>
            <w:pPr>
              <w:jc w:val="center"/>
              <w:rPr>
                <w:rFonts w:hint="eastAsia" w:ascii="黑体" w:hAnsi="黑体" w:eastAsia="黑体" w:cs="黑体"/>
                <w:sz w:val="21"/>
                <w:szCs w:val="21"/>
                <w:lang w:eastAsia="zh-Hans"/>
              </w:rPr>
            </w:pPr>
          </w:p>
        </w:tc>
        <w:tc>
          <w:tcPr>
            <w:tcW w:w="1348" w:type="dxa"/>
            <w:shd w:val="clear" w:color="auto" w:fill="auto"/>
            <w:noWrap w:val="0"/>
            <w:vAlign w:val="center"/>
          </w:tcPr>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送审程序及签批</w:t>
            </w:r>
          </w:p>
        </w:tc>
        <w:tc>
          <w:tcPr>
            <w:tcW w:w="11700" w:type="dxa"/>
            <w:shd w:val="clear" w:color="auto" w:fill="auto"/>
            <w:noWrap w:val="0"/>
            <w:vAlign w:val="center"/>
          </w:tcPr>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1.规范性文件送审稿经过合法性审核后，根据送审稿的修改情况及法律事务局的意见，分别依照下列程序处理： </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（一）送审稿相比公开征求意见稿作出了实质性修改的，应当重新提请执委会审议；</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（二）送审稿相比公开征求意见稿没有作出修改的或者仅作出了非实质性修改的，无需重新提请执委会审议，可直接进行 签批。</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2.规范性文件送审稿通过送审程序后，以执委会名义公布的规范性文件，起草机构应当报请执委会主任签批同意；以工作机构名义公布的规范性文件，由该机构主要负责人签批同意。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50" w:type="dxa"/>
            <w:shd w:val="clear" w:color="auto" w:fill="auto"/>
            <w:noWrap w:val="0"/>
            <w:vAlign w:val="center"/>
          </w:tcPr>
          <w:p>
            <w:pPr>
              <w:jc w:val="center"/>
              <w:rPr>
                <w:rFonts w:hint="eastAsia" w:ascii="黑体" w:hAnsi="黑体" w:eastAsia="黑体" w:cs="黑体"/>
                <w:sz w:val="21"/>
                <w:szCs w:val="21"/>
                <w:lang w:eastAsia="zh-Hans"/>
              </w:rPr>
            </w:pPr>
            <w:r>
              <w:rPr>
                <w:rFonts w:hint="eastAsia" w:ascii="黑体" w:hAnsi="黑体" w:eastAsia="黑体" w:cs="黑体"/>
                <w:sz w:val="21"/>
                <w:szCs w:val="21"/>
                <w:lang w:eastAsia="zh-Hans"/>
              </w:rPr>
              <w:t>登记、</w:t>
            </w:r>
          </w:p>
          <w:p>
            <w:pPr>
              <w:jc w:val="center"/>
              <w:rPr>
                <w:rFonts w:hint="eastAsia" w:ascii="黑体" w:hAnsi="黑体" w:eastAsia="黑体" w:cs="黑体"/>
                <w:sz w:val="21"/>
                <w:szCs w:val="21"/>
                <w:lang w:eastAsia="zh-Hans"/>
              </w:rPr>
            </w:pPr>
            <w:r>
              <w:rPr>
                <w:rFonts w:hint="eastAsia" w:ascii="黑体" w:hAnsi="黑体" w:eastAsia="黑体" w:cs="黑体"/>
                <w:sz w:val="21"/>
                <w:szCs w:val="21"/>
                <w:lang w:eastAsia="zh-Hans"/>
              </w:rPr>
              <w:t>编号、</w:t>
            </w:r>
          </w:p>
          <w:p>
            <w:pPr>
              <w:ind w:firstLine="210" w:firstLineChars="100"/>
              <w:jc w:val="left"/>
              <w:rPr>
                <w:rFonts w:hint="eastAsia" w:ascii="黑体" w:hAnsi="黑体" w:eastAsia="黑体" w:cs="黑体"/>
                <w:sz w:val="21"/>
                <w:szCs w:val="21"/>
                <w:lang w:eastAsia="zh-Hans"/>
              </w:rPr>
            </w:pPr>
            <w:r>
              <w:rPr>
                <w:rFonts w:hint="eastAsia" w:ascii="黑体" w:hAnsi="黑体" w:eastAsia="黑体" w:cs="黑体"/>
                <w:sz w:val="21"/>
                <w:szCs w:val="21"/>
                <w:lang w:eastAsia="zh-Hans"/>
              </w:rPr>
              <w:t>发文</w:t>
            </w:r>
          </w:p>
        </w:tc>
        <w:tc>
          <w:tcPr>
            <w:tcW w:w="1348" w:type="dxa"/>
            <w:shd w:val="clear" w:color="auto" w:fill="auto"/>
            <w:noWrap w:val="0"/>
            <w:vAlign w:val="center"/>
          </w:tcPr>
          <w:p>
            <w:pPr>
              <w:spacing w:line="400" w:lineRule="exact"/>
              <w:jc w:val="center"/>
              <w:rPr>
                <w:rFonts w:hint="eastAsia" w:ascii="楷体" w:hAnsi="楷体" w:eastAsia="楷体" w:cs="楷体"/>
                <w:b/>
                <w:bCs/>
                <w:sz w:val="21"/>
                <w:szCs w:val="21"/>
                <w:lang w:eastAsia="zh-Hans"/>
              </w:rPr>
            </w:pPr>
            <w:r>
              <w:rPr>
                <w:rFonts w:hint="eastAsia" w:ascii="楷体" w:hAnsi="楷体" w:eastAsia="楷体" w:cs="楷体"/>
                <w:b/>
                <w:bCs/>
                <w:sz w:val="21"/>
                <w:szCs w:val="21"/>
                <w:lang w:eastAsia="zh-Hans"/>
              </w:rPr>
              <w:t>移送登记、编号、印发及公布</w:t>
            </w:r>
          </w:p>
        </w:tc>
        <w:tc>
          <w:tcPr>
            <w:tcW w:w="11700" w:type="dxa"/>
            <w:shd w:val="clear" w:color="auto" w:fill="auto"/>
            <w:noWrap w:val="0"/>
            <w:vAlign w:val="center"/>
          </w:tcPr>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1.签批同意后，规范性文件由行政事务局实行统一登记及编号。</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 xml:space="preserve">2.登记及编号后，以执委会名义公布的规范性文件由行政事务局印发；以工作机构名义公布的规范性文件，由该机构印发。 </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3.规范性文件均应当主动公开，印发后同步通过执委会政务网站向社会公开发布。如有必要，还可以通过政务新媒体及其他便于社会公众知晓的途径公布。</w:t>
            </w:r>
          </w:p>
          <w:p>
            <w:pPr>
              <w:spacing w:line="400" w:lineRule="exact"/>
              <w:ind w:firstLine="480" w:firstLineChars="200"/>
              <w:jc w:val="left"/>
              <w:rPr>
                <w:rFonts w:hint="eastAsia" w:ascii="楷体" w:hAnsi="楷体" w:eastAsia="楷体" w:cs="楷体"/>
                <w:sz w:val="24"/>
              </w:rPr>
            </w:pPr>
            <w:r>
              <w:rPr>
                <w:rFonts w:hint="eastAsia" w:ascii="楷体" w:hAnsi="楷体" w:eastAsia="楷体" w:cs="楷体"/>
                <w:sz w:val="24"/>
              </w:rPr>
              <w:t>4.公开发布规范性文件时，起草机构应当同步在公布途径对相关决策背景和依据、主要内容、实施范围、落实措施等进行解读和宣传。</w:t>
            </w:r>
          </w:p>
        </w:tc>
      </w:tr>
    </w:tbl>
    <w:p/>
    <w:sectPr>
      <w:footerReference r:id="rId6"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737"/>
      <w:rPr>
        <w:rFonts w:ascii="宋体" w:hAnsi="宋体" w:eastAsia="宋体" w:cs="宋体"/>
        <w:sz w:val="28"/>
        <w:szCs w:val="28"/>
      </w:rPr>
    </w:pPr>
    <w:r>
      <w:rPr>
        <w:rFonts w:cs="Times New Roman"/>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eastAsia="宋体" w:cs="Times New Roman"/>
                              <w:sz w:val="28"/>
                            </w:rPr>
                          </w:pPr>
                          <w:r>
                            <w:rPr>
                              <w:rFonts w:ascii="宋体" w:hAnsi="宋体" w:eastAsia="宋体" w:cs="Times New Roman"/>
                              <w:sz w:val="28"/>
                            </w:rPr>
                            <w:t>—</w:t>
                          </w:r>
                          <w:r>
                            <w:rPr>
                              <w:rFonts w:ascii="宋体" w:hAnsi="宋体" w:eastAsia="宋体" w:cs="Times New Roman"/>
                              <w:sz w:val="24"/>
                            </w:rPr>
                            <w:t>　</w:t>
                          </w: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47</w:t>
                          </w:r>
                          <w:r>
                            <w:rPr>
                              <w:rFonts w:ascii="宋体" w:hAnsi="宋体" w:eastAsia="宋体" w:cs="Times New Roman"/>
                              <w:sz w:val="28"/>
                            </w:rPr>
                            <w:fldChar w:fldCharType="end"/>
                          </w:r>
                          <w:r>
                            <w:rPr>
                              <w:rFonts w:ascii="宋体" w:hAnsi="宋体" w:eastAsia="宋体" w:cs="Times New Roman"/>
                              <w:sz w:val="24"/>
                            </w:rPr>
                            <w:t>　</w:t>
                          </w:r>
                          <w:r>
                            <w:rPr>
                              <w:rFonts w:ascii="宋体" w:hAnsi="宋体" w:eastAsia="宋体" w:cs="Times New Roma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4"/>
                      <w:rPr>
                        <w:rFonts w:ascii="宋体" w:hAnsi="宋体" w:eastAsia="宋体" w:cs="Times New Roman"/>
                        <w:sz w:val="28"/>
                      </w:rPr>
                    </w:pPr>
                    <w:r>
                      <w:rPr>
                        <w:rFonts w:ascii="宋体" w:hAnsi="宋体" w:eastAsia="宋体" w:cs="Times New Roman"/>
                        <w:sz w:val="28"/>
                      </w:rPr>
                      <w:t>—</w:t>
                    </w:r>
                    <w:r>
                      <w:rPr>
                        <w:rFonts w:ascii="宋体" w:hAnsi="宋体" w:eastAsia="宋体" w:cs="Times New Roman"/>
                        <w:sz w:val="24"/>
                      </w:rPr>
                      <w:t>　</w:t>
                    </w: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47</w:t>
                    </w:r>
                    <w:r>
                      <w:rPr>
                        <w:rFonts w:ascii="宋体" w:hAnsi="宋体" w:eastAsia="宋体" w:cs="Times New Roman"/>
                        <w:sz w:val="28"/>
                      </w:rPr>
                      <w:fldChar w:fldCharType="end"/>
                    </w:r>
                    <w:r>
                      <w:rPr>
                        <w:rFonts w:ascii="宋体" w:hAnsi="宋体" w:eastAsia="宋体" w:cs="Times New Roman"/>
                        <w:sz w:val="24"/>
                      </w:rPr>
                      <w:t>　</w:t>
                    </w:r>
                    <w:r>
                      <w:rPr>
                        <w:rFonts w:ascii="宋体" w:hAnsi="宋体" w:eastAsia="宋体" w:cs="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12737"/>
      <w:rPr>
        <w:rFonts w:ascii="宋体" w:hAnsi="宋体" w:eastAsia="宋体" w:cs="宋体"/>
        <w:sz w:val="28"/>
        <w:szCs w:val="28"/>
      </w:rPr>
    </w:pPr>
    <w:r>
      <w:rPr>
        <w:rFonts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ascii="宋体" w:hAnsi="宋体" w:eastAsia="宋体" w:cs="Times New Roman"/>
                              <w:sz w:val="28"/>
                            </w:rPr>
                          </w:pPr>
                          <w:r>
                            <w:rPr>
                              <w:rFonts w:ascii="宋体" w:hAnsi="宋体" w:eastAsia="宋体" w:cs="Times New Roman"/>
                              <w:sz w:val="28"/>
                            </w:rPr>
                            <w:t>—</w:t>
                          </w:r>
                          <w:r>
                            <w:rPr>
                              <w:rFonts w:ascii="宋体" w:hAnsi="宋体" w:eastAsia="宋体" w:cs="Times New Roman"/>
                              <w:sz w:val="24"/>
                            </w:rPr>
                            <w:t>　</w:t>
                          </w: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47</w:t>
                          </w:r>
                          <w:r>
                            <w:rPr>
                              <w:rFonts w:ascii="宋体" w:hAnsi="宋体" w:eastAsia="宋体" w:cs="Times New Roman"/>
                              <w:sz w:val="28"/>
                            </w:rPr>
                            <w:fldChar w:fldCharType="end"/>
                          </w:r>
                          <w:r>
                            <w:rPr>
                              <w:rFonts w:ascii="宋体" w:hAnsi="宋体" w:eastAsia="宋体" w:cs="Times New Roman"/>
                              <w:sz w:val="24"/>
                            </w:rPr>
                            <w:t>　</w:t>
                          </w:r>
                          <w:r>
                            <w:rPr>
                              <w:rFonts w:ascii="宋体" w:hAnsi="宋体" w:eastAsia="宋体" w:cs="Times New Roma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pPr>
                      <w:pStyle w:val="4"/>
                      <w:rPr>
                        <w:rFonts w:ascii="宋体" w:hAnsi="宋体" w:eastAsia="宋体" w:cs="Times New Roman"/>
                        <w:sz w:val="28"/>
                      </w:rPr>
                    </w:pPr>
                    <w:r>
                      <w:rPr>
                        <w:rFonts w:ascii="宋体" w:hAnsi="宋体" w:eastAsia="宋体" w:cs="Times New Roman"/>
                        <w:sz w:val="28"/>
                      </w:rPr>
                      <w:t>—</w:t>
                    </w:r>
                    <w:r>
                      <w:rPr>
                        <w:rFonts w:ascii="宋体" w:hAnsi="宋体" w:eastAsia="宋体" w:cs="Times New Roman"/>
                        <w:sz w:val="24"/>
                      </w:rPr>
                      <w:t>　</w:t>
                    </w: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47</w:t>
                    </w:r>
                    <w:r>
                      <w:rPr>
                        <w:rFonts w:ascii="宋体" w:hAnsi="宋体" w:eastAsia="宋体" w:cs="Times New Roman"/>
                        <w:sz w:val="28"/>
                      </w:rPr>
                      <w:fldChar w:fldCharType="end"/>
                    </w:r>
                    <w:r>
                      <w:rPr>
                        <w:rFonts w:ascii="宋体" w:hAnsi="宋体" w:eastAsia="宋体" w:cs="Times New Roman"/>
                        <w:sz w:val="24"/>
                      </w:rPr>
                      <w:t>　</w:t>
                    </w:r>
                    <w:r>
                      <w:rPr>
                        <w:rFonts w:ascii="宋体" w:hAnsi="宋体" w:eastAsia="宋体" w:cs="Times New Roman"/>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95D2A"/>
    <w:rsid w:val="30095D2A"/>
    <w:rsid w:val="7C452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spacing w:after="120" w:line="600" w:lineRule="exact"/>
      <w:jc w:val="both"/>
    </w:pPr>
    <w:rPr>
      <w:rFonts w:ascii="Calibri" w:hAnsi="Calibri" w:eastAsia="仿宋_GB2312" w:cs="Times New Roman"/>
      <w:kern w:val="2"/>
      <w:sz w:val="32"/>
      <w:szCs w:val="21"/>
      <w:lang w:val="en-US" w:eastAsia="zh-CN" w:bidi="ar-SA"/>
    </w:rPr>
  </w:style>
  <w:style w:type="paragraph" w:styleId="3">
    <w:name w:val="Title"/>
    <w:next w:val="1"/>
    <w:qFormat/>
    <w:uiPriority w:val="0"/>
    <w:pPr>
      <w:widowControl w:val="0"/>
      <w:spacing w:before="240" w:after="60"/>
      <w:jc w:val="center"/>
      <w:textAlignment w:val="baseline"/>
    </w:pPr>
    <w:rPr>
      <w:rFonts w:ascii="Cambria" w:hAnsi="Cambria" w:eastAsia="宋体" w:cs="Times New Roman"/>
      <w:b/>
      <w:bCs/>
      <w:kern w:val="2"/>
      <w:sz w:val="32"/>
      <w:szCs w:val="32"/>
      <w:lang w:val="en-US" w:eastAsia="zh-CN" w:bidi="ar-SA"/>
    </w:rPr>
  </w:style>
  <w:style w:type="paragraph" w:styleId="4">
    <w:name w:val="footer"/>
    <w:next w:val="5"/>
    <w:qFormat/>
    <w:uiPriority w:val="0"/>
    <w:pPr>
      <w:widowControl w:val="0"/>
      <w:tabs>
        <w:tab w:val="center" w:pos="4153"/>
        <w:tab w:val="right" w:pos="8306"/>
      </w:tabs>
      <w:snapToGrid w:val="0"/>
      <w:spacing w:line="600" w:lineRule="exact"/>
      <w:jc w:val="left"/>
    </w:pPr>
    <w:rPr>
      <w:rFonts w:ascii="Calibri" w:hAnsi="Calibri" w:eastAsia="仿宋_GB2312" w:cs="Times New Roman"/>
      <w:kern w:val="2"/>
      <w:sz w:val="18"/>
      <w:szCs w:val="24"/>
      <w:lang w:val="en-US" w:eastAsia="zh-CN" w:bidi="ar-SA"/>
    </w:rPr>
  </w:style>
  <w:style w:type="paragraph" w:customStyle="1" w:styleId="5">
    <w:name w:val="样式1"/>
    <w:next w:val="6"/>
    <w:qFormat/>
    <w:uiPriority w:val="0"/>
    <w:pPr>
      <w:widowControl w:val="0"/>
      <w:jc w:val="both"/>
    </w:pPr>
    <w:rPr>
      <w:rFonts w:ascii="Calibri" w:hAnsi="Calibri" w:eastAsia="宋体" w:cs="Arial"/>
      <w:b/>
      <w:bCs/>
      <w:color w:val="538135"/>
      <w:kern w:val="2"/>
      <w:sz w:val="28"/>
      <w:szCs w:val="22"/>
      <w:lang w:val="en-US" w:eastAsia="zh-CN" w:bidi="ar-SA"/>
    </w:rPr>
  </w:style>
  <w:style w:type="paragraph" w:styleId="6">
    <w:name w:val="index 7"/>
    <w:next w:val="1"/>
    <w:qFormat/>
    <w:uiPriority w:val="0"/>
    <w:pPr>
      <w:widowControl w:val="0"/>
      <w:spacing w:line="600" w:lineRule="exact"/>
      <w:ind w:left="252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2024-11-06T01:36:00Z</dcterms:created>
  <dc:creator>zhanghqva</dc:creator>
  <cp:lastModifiedBy>zhanghqva</cp:lastModifiedBy>
  <dcterms:modified xsi:type="dcterms:W3CDTF">2024-11-06T01:39:18Z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76E927CFF31241928EFA2C155EB6FEE9</vt:lpwstr>
  </property>
</Properties>
</file>