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after="60" w:afterLines="25" w:line="360" w:lineRule="auto"/>
        <w:outlineLvl w:val="1"/>
        <w:rPr>
          <w:rFonts w:hint="eastAsia" w:eastAsia="黑体"/>
          <w:spacing w:val="-4"/>
          <w:sz w:val="30"/>
          <w:szCs w:val="30"/>
          <w:highlight w:val="none"/>
        </w:rPr>
      </w:pPr>
      <w:bookmarkStart w:id="0" w:name="_GoBack"/>
      <w:r>
        <w:rPr>
          <w:rFonts w:hint="eastAsia" w:eastAsia="黑体"/>
          <w:spacing w:val="-4"/>
          <w:sz w:val="30"/>
          <w:szCs w:val="30"/>
          <w:highlight w:val="none"/>
        </w:rPr>
        <w:t>附件1：</w:t>
      </w:r>
    </w:p>
    <w:p>
      <w:pPr>
        <w:autoSpaceDE w:val="0"/>
        <w:autoSpaceDN w:val="0"/>
        <w:adjustRightInd w:val="0"/>
        <w:snapToGrid w:val="0"/>
        <w:spacing w:before="72" w:after="72"/>
        <w:jc w:val="center"/>
        <w:textAlignment w:val="baseline"/>
        <w:rPr>
          <w:rFonts w:hint="eastAsia" w:ascii="仿宋_GB2312" w:eastAsia="仿宋_GB2312"/>
          <w:b/>
          <w:kern w:val="0"/>
          <w:sz w:val="28"/>
          <w:szCs w:val="28"/>
          <w:highlight w:val="none"/>
        </w:rPr>
      </w:pPr>
      <w:r>
        <w:rPr>
          <w:rFonts w:hint="eastAsia" w:ascii="仿宋_GB2312" w:eastAsia="仿宋_GB2312"/>
          <w:b/>
          <w:kern w:val="0"/>
          <w:sz w:val="28"/>
          <w:szCs w:val="28"/>
          <w:highlight w:val="none"/>
        </w:rPr>
        <w:t>横琴粤澳深度合作区用地类型地价修正系数表</w:t>
      </w:r>
    </w:p>
    <w:bookmarkEnd w:id="0"/>
    <w:tbl>
      <w:tblPr>
        <w:tblStyle w:val="4"/>
        <w:tblW w:w="0" w:type="auto"/>
        <w:jc w:val="center"/>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99"/>
        <w:gridCol w:w="820"/>
        <w:gridCol w:w="1170"/>
        <w:gridCol w:w="897"/>
        <w:gridCol w:w="890"/>
        <w:gridCol w:w="4581"/>
      </w:tblGrid>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一级类</w:t>
            </w:r>
          </w:p>
        </w:tc>
        <w:tc>
          <w:tcPr>
            <w:tcW w:w="82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二级类</w:t>
            </w:r>
          </w:p>
        </w:tc>
        <w:tc>
          <w:tcPr>
            <w:tcW w:w="117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细分用地类别</w:t>
            </w:r>
          </w:p>
        </w:tc>
        <w:tc>
          <w:tcPr>
            <w:tcW w:w="897"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适用地价类型</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修正系数</w:t>
            </w:r>
          </w:p>
        </w:tc>
        <w:tc>
          <w:tcPr>
            <w:tcW w:w="4581"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备注</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商</w:t>
            </w:r>
            <w:r>
              <w:rPr>
                <w:rFonts w:hint="eastAsia" w:eastAsia="仿宋_GB2312"/>
                <w:kern w:val="0"/>
                <w:szCs w:val="21"/>
                <w:highlight w:val="none"/>
                <w:lang w:val="en-US" w:eastAsia="zh-CN"/>
              </w:rPr>
              <w:t>服</w:t>
            </w:r>
            <w:r>
              <w:rPr>
                <w:rFonts w:eastAsia="仿宋_GB2312"/>
                <w:kern w:val="0"/>
                <w:szCs w:val="21"/>
                <w:highlight w:val="none"/>
              </w:rPr>
              <w:t>用地</w:t>
            </w:r>
          </w:p>
        </w:tc>
        <w:tc>
          <w:tcPr>
            <w:tcW w:w="820" w:type="dxa"/>
            <w:vMerge w:val="restart"/>
            <w:noWrap w:val="0"/>
            <w:vAlign w:val="center"/>
          </w:tcPr>
          <w:p>
            <w:pPr>
              <w:widowControl/>
              <w:jc w:val="center"/>
              <w:rPr>
                <w:rFonts w:eastAsia="仿宋_GB2312"/>
                <w:kern w:val="0"/>
                <w:szCs w:val="21"/>
                <w:highlight w:val="none"/>
              </w:rPr>
            </w:pPr>
            <w:r>
              <w:rPr>
                <w:rFonts w:hint="eastAsia" w:eastAsia="仿宋_GB2312"/>
                <w:kern w:val="0"/>
                <w:szCs w:val="21"/>
                <w:highlight w:val="none"/>
              </w:rPr>
              <w:t>零售商业用地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普通</w:t>
            </w:r>
            <w:r>
              <w:rPr>
                <w:rFonts w:eastAsia="仿宋_GB2312"/>
                <w:kern w:val="0"/>
                <w:szCs w:val="21"/>
                <w:highlight w:val="none"/>
              </w:rPr>
              <w:t>零售商业用地</w:t>
            </w:r>
          </w:p>
        </w:tc>
        <w:tc>
          <w:tcPr>
            <w:tcW w:w="897" w:type="dxa"/>
            <w:vMerge w:val="restart"/>
            <w:noWrap w:val="0"/>
            <w:vAlign w:val="center"/>
          </w:tcPr>
          <w:p>
            <w:pPr>
              <w:widowControl/>
              <w:jc w:val="center"/>
              <w:rPr>
                <w:rFonts w:eastAsia="仿宋_GB2312"/>
                <w:b/>
                <w:bCs/>
                <w:kern w:val="0"/>
                <w:szCs w:val="21"/>
                <w:highlight w:val="none"/>
              </w:rPr>
            </w:pPr>
            <w:r>
              <w:rPr>
                <w:rFonts w:eastAsia="仿宋_GB2312"/>
                <w:b/>
                <w:bCs/>
                <w:kern w:val="0"/>
                <w:szCs w:val="21"/>
                <w:highlight w:val="none"/>
              </w:rPr>
              <w:t>商业</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以零售功能为主的商铺、商场、超市、市场用地。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加油站用地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hint="eastAsia" w:eastAsia="仿宋_GB2312"/>
                <w:b/>
                <w:bCs/>
                <w:kern w:val="0"/>
                <w:szCs w:val="21"/>
                <w:highlight w:val="none"/>
              </w:rPr>
            </w:pPr>
            <w:r>
              <w:rPr>
                <w:rFonts w:eastAsia="仿宋_GB2312"/>
                <w:b/>
                <w:bCs/>
                <w:kern w:val="0"/>
                <w:szCs w:val="21"/>
                <w:highlight w:val="none"/>
              </w:rPr>
              <w:t>1.</w:t>
            </w:r>
            <w:r>
              <w:rPr>
                <w:rFonts w:hint="eastAsia" w:eastAsia="仿宋_GB2312"/>
                <w:b/>
                <w:bCs/>
                <w:kern w:val="0"/>
                <w:szCs w:val="21"/>
                <w:highlight w:val="none"/>
              </w:rPr>
              <w:t>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指为机动车提供汽油或柴油等燃料的场所用地。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加气、充换电站用地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指以气体形式向机动车提供燃料的场所和为电动汽车（新能源汽车）提供充电的场所用地。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农贸市场用地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0</w:t>
            </w:r>
            <w:r>
              <w:rPr>
                <w:rFonts w:eastAsia="仿宋_GB2312"/>
                <w:b/>
                <w:bCs/>
                <w:kern w:val="0"/>
                <w:szCs w:val="21"/>
                <w:highlight w:val="none"/>
              </w:rPr>
              <w:t>.2</w:t>
            </w:r>
          </w:p>
        </w:tc>
        <w:tc>
          <w:tcPr>
            <w:tcW w:w="4581" w:type="dxa"/>
            <w:noWrap w:val="0"/>
            <w:vAlign w:val="center"/>
          </w:tcPr>
          <w:p>
            <w:pPr>
              <w:widowControl/>
              <w:jc w:val="left"/>
              <w:rPr>
                <w:rFonts w:hint="eastAsia" w:eastAsia="仿宋_GB2312"/>
                <w:kern w:val="0"/>
                <w:szCs w:val="21"/>
                <w:highlight w:val="none"/>
              </w:rPr>
            </w:pPr>
            <w:r>
              <w:rPr>
                <w:rFonts w:hint="eastAsia" w:eastAsia="仿宋_GB2312"/>
                <w:kern w:val="0"/>
                <w:szCs w:val="21"/>
                <w:highlight w:val="none"/>
              </w:rPr>
              <w:t>指以买卖鲜活农副业产品的交易场所和小手工业产品的市场场所用地。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批发市场用地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kern w:val="0"/>
                <w:szCs w:val="21"/>
                <w:highlight w:val="none"/>
              </w:rPr>
            </w:pPr>
            <w:r>
              <w:rPr>
                <w:rFonts w:eastAsia="仿宋_GB2312"/>
                <w:b/>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指以批发功能为主的市场用地。包括</w:t>
            </w:r>
            <w:r>
              <w:rPr>
                <w:rFonts w:hint="eastAsia" w:eastAsia="仿宋_GB2312"/>
                <w:kern w:val="0"/>
                <w:szCs w:val="21"/>
                <w:highlight w:val="none"/>
              </w:rPr>
              <w:t>《横琴粤澳深度合作区建设总体方案》提及的澳门品牌工业中的毛坯钻石、宝石产业用作交易场所的用地。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餐饮用地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0.8</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指饭店、餐厅、酒吧等用地。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restart"/>
            <w:noWrap w:val="0"/>
            <w:vAlign w:val="center"/>
          </w:tcPr>
          <w:p>
            <w:pPr>
              <w:widowControl/>
              <w:jc w:val="center"/>
              <w:rPr>
                <w:rFonts w:eastAsia="仿宋_GB2312"/>
                <w:kern w:val="0"/>
                <w:szCs w:val="21"/>
                <w:highlight w:val="none"/>
              </w:rPr>
            </w:pPr>
            <w:r>
              <w:rPr>
                <w:rFonts w:hint="eastAsia" w:eastAsia="仿宋_GB2312"/>
                <w:kern w:val="0"/>
                <w:szCs w:val="21"/>
                <w:highlight w:val="none"/>
              </w:rPr>
              <w:t>娱乐用地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娱乐康体用地</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0</w:t>
            </w:r>
            <w:r>
              <w:rPr>
                <w:rFonts w:eastAsia="仿宋_GB2312"/>
                <w:b/>
                <w:bCs/>
                <w:kern w:val="0"/>
                <w:szCs w:val="21"/>
                <w:highlight w:val="none"/>
              </w:rPr>
              <w:t>.3</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指娱乐、康体等设施用地，包含剧院、音乐厅、电影院、歌舞厅、网吧、影视城、仿古城以及绿地率小于</w:t>
            </w:r>
            <w:r>
              <w:rPr>
                <w:rFonts w:eastAsia="仿宋_GB2312"/>
                <w:kern w:val="0"/>
                <w:szCs w:val="21"/>
                <w:highlight w:val="none"/>
              </w:rPr>
              <w:t>65%的游乐等设施用地。包括</w:t>
            </w:r>
            <w:r>
              <w:rPr>
                <w:rFonts w:hint="eastAsia" w:eastAsia="仿宋_GB2312"/>
                <w:kern w:val="0"/>
                <w:szCs w:val="21"/>
                <w:highlight w:val="none"/>
              </w:rPr>
              <w:t>《横琴粤澳深度合作区建设总体方案》提及的文旅会展商贸产业中的休闲养生、康复医疗等大健康产业用地。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大型游乐设施用地</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0.07</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指规划容积率</w:t>
            </w:r>
            <w:r>
              <w:rPr>
                <w:rFonts w:eastAsia="仿宋_GB2312"/>
                <w:kern w:val="0"/>
                <w:szCs w:val="21"/>
                <w:highlight w:val="none"/>
              </w:rPr>
              <w:t>小于等于0.8，项</w:t>
            </w:r>
            <w:r>
              <w:rPr>
                <w:rFonts w:hint="eastAsia" w:eastAsia="仿宋_GB2312"/>
                <w:kern w:val="0"/>
                <w:szCs w:val="21"/>
                <w:highlight w:val="none"/>
              </w:rPr>
              <w:t>目整体开发，且开发完成后不得分割出售转让的大型游乐设施用地</w:t>
            </w:r>
            <w:r>
              <w:rPr>
                <w:rFonts w:eastAsia="仿宋_GB2312"/>
                <w:kern w:val="0"/>
                <w:szCs w:val="21"/>
                <w:highlight w:val="none"/>
              </w:rPr>
              <w:t>（经用地类型修正后为该用途的</w:t>
            </w:r>
            <w:r>
              <w:rPr>
                <w:rFonts w:hint="eastAsia" w:eastAsia="仿宋_GB2312"/>
                <w:kern w:val="0"/>
                <w:szCs w:val="21"/>
                <w:highlight w:val="none"/>
              </w:rPr>
              <w:t>地面单价，</w:t>
            </w:r>
            <w:r>
              <w:rPr>
                <w:rFonts w:eastAsia="仿宋_GB2312"/>
                <w:kern w:val="0"/>
                <w:szCs w:val="21"/>
                <w:highlight w:val="none"/>
              </w:rPr>
              <w:t>不作容积率修正</w:t>
            </w:r>
            <w:r>
              <w:rPr>
                <w:rFonts w:hint="eastAsia" w:eastAsia="仿宋_GB2312"/>
                <w:kern w:val="0"/>
                <w:szCs w:val="21"/>
                <w:highlight w:val="none"/>
              </w:rPr>
              <w:t>和商业楼层修正</w:t>
            </w:r>
            <w:r>
              <w:rPr>
                <w:rFonts w:eastAsia="仿宋_GB2312"/>
                <w:kern w:val="0"/>
                <w:szCs w:val="21"/>
                <w:highlight w:val="none"/>
              </w:rPr>
              <w:t>）</w:t>
            </w:r>
            <w:r>
              <w:rPr>
                <w:rFonts w:hint="eastAsia" w:eastAsia="仿宋_GB2312"/>
                <w:kern w:val="0"/>
                <w:szCs w:val="21"/>
                <w:highlight w:val="none"/>
              </w:rPr>
              <w:t>。</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1005"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商务金融用地</w:t>
            </w: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办公用地</w:t>
            </w:r>
          </w:p>
        </w:tc>
        <w:tc>
          <w:tcPr>
            <w:tcW w:w="897" w:type="dxa"/>
            <w:vMerge w:val="restart"/>
            <w:noWrap w:val="0"/>
            <w:vAlign w:val="center"/>
          </w:tcPr>
          <w:p>
            <w:pPr>
              <w:widowControl/>
              <w:jc w:val="center"/>
              <w:rPr>
                <w:rFonts w:eastAsia="仿宋_GB2312"/>
                <w:b/>
                <w:bCs/>
                <w:kern w:val="0"/>
                <w:szCs w:val="21"/>
                <w:highlight w:val="none"/>
              </w:rPr>
            </w:pPr>
            <w:r>
              <w:rPr>
                <w:rFonts w:eastAsia="仿宋_GB2312"/>
                <w:b/>
                <w:bCs/>
                <w:kern w:val="0"/>
                <w:szCs w:val="21"/>
                <w:highlight w:val="none"/>
              </w:rPr>
              <w:t>办公</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指商务服务用地，以及经营性的办公场所用地。包括写字楼、商业性办公场所、金融活动场所和企业厂区独立的办公场所；信息网络服务、信息技术服务、电子商务服务、广告传媒等用地。包括</w:t>
            </w:r>
            <w:r>
              <w:rPr>
                <w:rFonts w:hint="eastAsia" w:eastAsia="仿宋_GB2312"/>
                <w:kern w:val="0"/>
                <w:szCs w:val="21"/>
                <w:highlight w:val="none"/>
              </w:rPr>
              <w:t>《横琴粤澳深度合作区建设总体方案》提及的现代金融业用地。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会展用地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0.8</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指主要用于各种类型的会议、展览会、博览会、交易会、展销会、展示会等大型集体性活动的场所用地。包括</w:t>
            </w:r>
            <w:r>
              <w:rPr>
                <w:rFonts w:hint="eastAsia" w:eastAsia="仿宋_GB2312"/>
                <w:kern w:val="0"/>
                <w:szCs w:val="21"/>
                <w:highlight w:val="none"/>
              </w:rPr>
              <w:t>《横琴粤澳深度合作区建设总体方案》提及的文旅会展商贸产业中的会议展览用地。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1103"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旅馆用地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酒店</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指宾馆、旅馆、招待所、服务型公寓、度假村等用地。包括</w:t>
            </w:r>
            <w:r>
              <w:rPr>
                <w:rFonts w:hint="eastAsia" w:eastAsia="仿宋_GB2312"/>
                <w:kern w:val="0"/>
                <w:szCs w:val="21"/>
                <w:highlight w:val="none"/>
              </w:rPr>
              <w:t>《横琴粤澳深度合作区建设总体方案》提及的文旅会展商贸产业中的休闲度假用地。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87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其他商业用地</w:t>
            </w:r>
          </w:p>
        </w:tc>
        <w:tc>
          <w:tcPr>
            <w:tcW w:w="1170" w:type="dxa"/>
            <w:noWrap w:val="0"/>
            <w:vAlign w:val="center"/>
          </w:tcPr>
          <w:p>
            <w:pPr>
              <w:widowControl/>
              <w:jc w:val="center"/>
              <w:textAlignment w:val="center"/>
              <w:rPr>
                <w:rFonts w:eastAsia="仿宋_GB2312"/>
                <w:szCs w:val="21"/>
                <w:highlight w:val="none"/>
              </w:rPr>
            </w:pPr>
            <w:r>
              <w:rPr>
                <w:rFonts w:eastAsia="仿宋_GB2312"/>
                <w:kern w:val="0"/>
                <w:szCs w:val="21"/>
                <w:highlight w:val="none"/>
                <w:lang w:bidi="ar"/>
              </w:rPr>
              <w:t>赛马场用地</w:t>
            </w:r>
          </w:p>
        </w:tc>
        <w:tc>
          <w:tcPr>
            <w:tcW w:w="897" w:type="dxa"/>
            <w:noWrap w:val="0"/>
            <w:vAlign w:val="center"/>
          </w:tcPr>
          <w:p>
            <w:pPr>
              <w:jc w:val="center"/>
              <w:rPr>
                <w:rFonts w:eastAsia="仿宋_GB2312"/>
                <w:b/>
                <w:szCs w:val="21"/>
                <w:highlight w:val="none"/>
              </w:rPr>
            </w:pPr>
            <w:r>
              <w:rPr>
                <w:rFonts w:eastAsia="仿宋_GB2312"/>
                <w:b/>
                <w:bCs/>
                <w:kern w:val="0"/>
                <w:szCs w:val="21"/>
                <w:highlight w:val="none"/>
              </w:rPr>
              <w:t>商业</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textAlignment w:val="center"/>
              <w:rPr>
                <w:rFonts w:eastAsia="仿宋_GB2312"/>
                <w:b/>
                <w:szCs w:val="21"/>
                <w:highlight w:val="none"/>
              </w:rPr>
            </w:pPr>
            <w:r>
              <w:rPr>
                <w:rFonts w:eastAsia="仿宋_GB2312"/>
                <w:b/>
                <w:kern w:val="0"/>
                <w:szCs w:val="21"/>
                <w:highlight w:val="none"/>
                <w:lang w:bidi="ar"/>
              </w:rPr>
              <w:t>1.0</w:t>
            </w:r>
          </w:p>
        </w:tc>
        <w:tc>
          <w:tcPr>
            <w:tcW w:w="4581" w:type="dxa"/>
            <w:noWrap w:val="0"/>
            <w:vAlign w:val="center"/>
          </w:tcPr>
          <w:p>
            <w:pPr>
              <w:widowControl/>
              <w:jc w:val="left"/>
              <w:textAlignment w:val="center"/>
              <w:rPr>
                <w:rFonts w:eastAsia="仿宋_GB2312"/>
                <w:szCs w:val="21"/>
                <w:highlight w:val="none"/>
              </w:rPr>
            </w:pPr>
            <w:r>
              <w:rPr>
                <w:rFonts w:eastAsia="仿宋_GB2312"/>
                <w:kern w:val="0"/>
                <w:szCs w:val="21"/>
                <w:highlight w:val="none"/>
                <w:lang w:bidi="ar"/>
              </w:rPr>
              <w:t>指用于经营性的赛马场及其附属设施用地。</w:t>
            </w:r>
          </w:p>
        </w:tc>
      </w:tr>
    </w:tbl>
    <w:p>
      <w:pPr>
        <w:rPr>
          <w:highlight w:val="none"/>
        </w:rPr>
      </w:pPr>
    </w:p>
    <w:tbl>
      <w:tblPr>
        <w:tblStyle w:val="4"/>
        <w:tblW w:w="8957" w:type="dxa"/>
        <w:jc w:val="center"/>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99"/>
        <w:gridCol w:w="820"/>
        <w:gridCol w:w="1170"/>
        <w:gridCol w:w="897"/>
        <w:gridCol w:w="890"/>
        <w:gridCol w:w="4581"/>
      </w:tblGrid>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商</w:t>
            </w:r>
            <w:r>
              <w:rPr>
                <w:rFonts w:hint="eastAsia" w:eastAsia="仿宋_GB2312"/>
                <w:kern w:val="0"/>
                <w:szCs w:val="21"/>
                <w:highlight w:val="none"/>
                <w:lang w:val="en-US" w:eastAsia="zh-CN"/>
              </w:rPr>
              <w:t>服</w:t>
            </w:r>
            <w:r>
              <w:rPr>
                <w:rFonts w:eastAsia="仿宋_GB2312"/>
                <w:kern w:val="0"/>
                <w:szCs w:val="21"/>
                <w:highlight w:val="none"/>
              </w:rPr>
              <w:t>用地</w:t>
            </w:r>
          </w:p>
        </w:tc>
        <w:tc>
          <w:tcPr>
            <w:tcW w:w="820" w:type="dxa"/>
            <w:vMerge w:val="restart"/>
            <w:noWrap w:val="0"/>
            <w:vAlign w:val="center"/>
          </w:tcPr>
          <w:p>
            <w:pPr>
              <w:widowControl/>
              <w:jc w:val="center"/>
              <w:rPr>
                <w:rFonts w:eastAsia="仿宋_GB2312"/>
                <w:kern w:val="0"/>
                <w:szCs w:val="21"/>
                <w:highlight w:val="none"/>
              </w:rPr>
            </w:pPr>
            <w:r>
              <w:rPr>
                <w:rFonts w:hint="eastAsia" w:eastAsia="仿宋_GB2312"/>
                <w:kern w:val="0"/>
                <w:szCs w:val="21"/>
                <w:highlight w:val="none"/>
              </w:rPr>
              <w:t>其他商业用地</w:t>
            </w:r>
          </w:p>
        </w:tc>
        <w:tc>
          <w:tcPr>
            <w:tcW w:w="1170" w:type="dxa"/>
            <w:noWrap w:val="0"/>
            <w:vAlign w:val="center"/>
          </w:tcPr>
          <w:p>
            <w:pPr>
              <w:widowControl/>
              <w:jc w:val="center"/>
              <w:textAlignment w:val="center"/>
              <w:rPr>
                <w:rFonts w:eastAsia="仿宋_GB2312"/>
                <w:szCs w:val="21"/>
                <w:highlight w:val="none"/>
              </w:rPr>
            </w:pPr>
            <w:r>
              <w:rPr>
                <w:rFonts w:eastAsia="仿宋_GB2312"/>
                <w:kern w:val="0"/>
                <w:szCs w:val="21"/>
                <w:highlight w:val="none"/>
                <w:lang w:bidi="ar"/>
              </w:rPr>
              <w:t>高尔夫球场用地</w:t>
            </w:r>
          </w:p>
        </w:tc>
        <w:tc>
          <w:tcPr>
            <w:tcW w:w="897" w:type="dxa"/>
            <w:vMerge w:val="restart"/>
            <w:noWrap w:val="0"/>
            <w:vAlign w:val="center"/>
          </w:tcPr>
          <w:p>
            <w:pPr>
              <w:jc w:val="center"/>
              <w:rPr>
                <w:rFonts w:eastAsia="仿宋_GB2312"/>
                <w:b/>
                <w:bCs/>
                <w:kern w:val="0"/>
                <w:szCs w:val="21"/>
                <w:highlight w:val="none"/>
              </w:rPr>
            </w:pPr>
            <w:r>
              <w:rPr>
                <w:rFonts w:eastAsia="仿宋_GB2312"/>
                <w:b/>
                <w:bCs/>
                <w:kern w:val="0"/>
                <w:szCs w:val="21"/>
                <w:highlight w:val="none"/>
              </w:rPr>
              <w:t>商业</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textAlignment w:val="center"/>
              <w:rPr>
                <w:rFonts w:eastAsia="仿宋_GB2312"/>
                <w:b/>
                <w:szCs w:val="21"/>
                <w:highlight w:val="none"/>
              </w:rPr>
            </w:pPr>
            <w:r>
              <w:rPr>
                <w:rFonts w:eastAsia="仿宋_GB2312"/>
                <w:b/>
                <w:kern w:val="0"/>
                <w:szCs w:val="21"/>
                <w:highlight w:val="none"/>
                <w:lang w:bidi="ar"/>
              </w:rPr>
              <w:t>1.0</w:t>
            </w:r>
          </w:p>
        </w:tc>
        <w:tc>
          <w:tcPr>
            <w:tcW w:w="4581" w:type="dxa"/>
            <w:noWrap w:val="0"/>
            <w:vAlign w:val="center"/>
          </w:tcPr>
          <w:p>
            <w:pPr>
              <w:widowControl/>
              <w:jc w:val="left"/>
              <w:textAlignment w:val="center"/>
              <w:rPr>
                <w:rFonts w:eastAsia="仿宋_GB2312"/>
                <w:szCs w:val="21"/>
                <w:highlight w:val="none"/>
              </w:rPr>
            </w:pPr>
            <w:r>
              <w:rPr>
                <w:rFonts w:eastAsia="仿宋_GB2312"/>
                <w:kern w:val="0"/>
                <w:szCs w:val="21"/>
                <w:highlight w:val="none"/>
                <w:lang w:bidi="ar"/>
              </w:rPr>
              <w:t>指用于经营性的高尔夫球场及其附属设施用地。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center"/>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汽车展销用地</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0.12</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指用于大型汽车展览、销售、检测等的场所用地。</w:t>
            </w:r>
            <w:r>
              <w:rPr>
                <w:rFonts w:eastAsia="仿宋_GB2312"/>
                <w:kern w:val="0"/>
                <w:szCs w:val="21"/>
                <w:highlight w:val="none"/>
              </w:rPr>
              <w:t>（经用地类型修正后为该用途的</w:t>
            </w:r>
            <w:r>
              <w:rPr>
                <w:rFonts w:hint="eastAsia" w:eastAsia="仿宋_GB2312"/>
                <w:kern w:val="0"/>
                <w:szCs w:val="21"/>
                <w:highlight w:val="none"/>
              </w:rPr>
              <w:t>地面单价，</w:t>
            </w:r>
            <w:r>
              <w:rPr>
                <w:rFonts w:eastAsia="仿宋_GB2312"/>
                <w:kern w:val="0"/>
                <w:szCs w:val="21"/>
                <w:highlight w:val="none"/>
              </w:rPr>
              <w:t>不作容积率修正</w:t>
            </w:r>
            <w:r>
              <w:rPr>
                <w:rFonts w:hint="eastAsia" w:eastAsia="仿宋_GB2312"/>
                <w:kern w:val="0"/>
                <w:szCs w:val="21"/>
                <w:highlight w:val="none"/>
              </w:rPr>
              <w:t>和商业楼层修正</w:t>
            </w:r>
            <w:r>
              <w:rPr>
                <w:rFonts w:eastAsia="仿宋_GB2312"/>
                <w:kern w:val="0"/>
                <w:szCs w:val="21"/>
                <w:highlight w:val="none"/>
              </w:rPr>
              <w:t>）</w:t>
            </w:r>
            <w:r>
              <w:rPr>
                <w:rFonts w:hint="eastAsia" w:eastAsia="仿宋_GB2312"/>
                <w:kern w:val="0"/>
                <w:szCs w:val="21"/>
                <w:highlight w:val="none"/>
              </w:rPr>
              <w:t>。</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center"/>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其他商业</w:t>
            </w:r>
            <w:r>
              <w:rPr>
                <w:rFonts w:hint="eastAsia" w:eastAsia="仿宋_GB2312"/>
                <w:kern w:val="0"/>
                <w:szCs w:val="21"/>
                <w:highlight w:val="none"/>
              </w:rPr>
              <w:t>、服务业</w:t>
            </w:r>
            <w:r>
              <w:rPr>
                <w:rFonts w:eastAsia="仿宋_GB2312"/>
                <w:kern w:val="0"/>
                <w:szCs w:val="21"/>
                <w:highlight w:val="none"/>
              </w:rPr>
              <w:t>用地</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零售商业、批发市场、餐饮、旅馆、商务金融、娱乐用地以外的其他商业、服务业用地。包括洗车场、洗染店、照相馆、理发美容店、洗浴场所、废旧物资回收站、机动车、电子产品和日用品修理网点、物流营业网点，以及居住小区及小区级以下的配套的服务设施等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住宅用地</w:t>
            </w:r>
          </w:p>
        </w:tc>
        <w:tc>
          <w:tcPr>
            <w:tcW w:w="820" w:type="dxa"/>
            <w:vMerge w:val="restart"/>
            <w:noWrap w:val="0"/>
            <w:vAlign w:val="center"/>
          </w:tcPr>
          <w:p>
            <w:pPr>
              <w:widowControl/>
              <w:jc w:val="center"/>
              <w:rPr>
                <w:rFonts w:eastAsia="仿宋_GB2312"/>
                <w:kern w:val="0"/>
                <w:szCs w:val="21"/>
                <w:highlight w:val="none"/>
              </w:rPr>
            </w:pPr>
            <w:r>
              <w:rPr>
                <w:rFonts w:hint="eastAsia" w:eastAsia="仿宋_GB2312"/>
                <w:kern w:val="0"/>
                <w:szCs w:val="21"/>
                <w:highlight w:val="none"/>
              </w:rPr>
              <w:t>城镇住宅用地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普通</w:t>
            </w:r>
            <w:r>
              <w:rPr>
                <w:rFonts w:eastAsia="仿宋_GB2312"/>
                <w:kern w:val="0"/>
                <w:szCs w:val="21"/>
                <w:highlight w:val="none"/>
              </w:rPr>
              <w:t>住宅用地</w:t>
            </w:r>
            <w:r>
              <w:rPr>
                <w:rFonts w:hint="eastAsia" w:eastAsia="仿宋_GB2312"/>
                <w:kern w:val="0"/>
                <w:szCs w:val="21"/>
                <w:highlight w:val="none"/>
              </w:rPr>
              <w:t>（商品住房）</w:t>
            </w:r>
          </w:p>
        </w:tc>
        <w:tc>
          <w:tcPr>
            <w:tcW w:w="897" w:type="dxa"/>
            <w:vMerge w:val="restart"/>
            <w:noWrap w:val="0"/>
            <w:vAlign w:val="center"/>
          </w:tcPr>
          <w:p>
            <w:pPr>
              <w:widowControl/>
              <w:jc w:val="center"/>
              <w:rPr>
                <w:rFonts w:eastAsia="仿宋_GB2312"/>
                <w:b/>
                <w:bCs/>
                <w:kern w:val="0"/>
                <w:szCs w:val="21"/>
                <w:highlight w:val="none"/>
              </w:rPr>
            </w:pPr>
            <w:r>
              <w:rPr>
                <w:rFonts w:eastAsia="仿宋_GB2312"/>
                <w:b/>
                <w:bCs/>
                <w:kern w:val="0"/>
                <w:szCs w:val="21"/>
                <w:highlight w:val="none"/>
              </w:rPr>
              <w:t>住宅</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指城镇用于生活居住的各类房屋用地及其附属设施用地，不含配套的商业服务设施等用地。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市场化租赁住房用地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w:t>
            </w:r>
            <w:r>
              <w:rPr>
                <w:rFonts w:hint="eastAsia" w:eastAsia="仿宋_GB2312"/>
                <w:b/>
                <w:bCs/>
                <w:kern w:val="0"/>
                <w:szCs w:val="21"/>
                <w:highlight w:val="none"/>
              </w:rPr>
              <w:t>58</w:t>
            </w:r>
          </w:p>
        </w:tc>
        <w:tc>
          <w:tcPr>
            <w:tcW w:w="4581" w:type="dxa"/>
            <w:noWrap w:val="0"/>
            <w:vAlign w:val="center"/>
          </w:tcPr>
          <w:p>
            <w:pPr>
              <w:widowControl/>
              <w:jc w:val="left"/>
              <w:rPr>
                <w:rFonts w:hint="eastAsia" w:eastAsia="仿宋_GB2312"/>
                <w:kern w:val="0"/>
                <w:szCs w:val="21"/>
                <w:highlight w:val="none"/>
              </w:rPr>
            </w:pPr>
            <w:r>
              <w:rPr>
                <w:rFonts w:hint="eastAsia" w:eastAsia="仿宋_GB2312"/>
                <w:kern w:val="0"/>
                <w:szCs w:val="21"/>
                <w:highlight w:val="none"/>
              </w:rPr>
              <w:t>指出让土地使用年期内全自持且只租不售的市场化租赁住房等住宅组团用地。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保障性</w:t>
            </w:r>
            <w:r>
              <w:rPr>
                <w:rFonts w:eastAsia="仿宋_GB2312"/>
                <w:kern w:val="0"/>
                <w:szCs w:val="21"/>
                <w:highlight w:val="none"/>
              </w:rPr>
              <w:t>租赁住房</w:t>
            </w:r>
            <w:r>
              <w:rPr>
                <w:rFonts w:hint="eastAsia" w:eastAsia="仿宋_GB2312"/>
                <w:kern w:val="0"/>
                <w:szCs w:val="21"/>
                <w:highlight w:val="none"/>
              </w:rPr>
              <w:t>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w:t>
            </w:r>
            <w:r>
              <w:rPr>
                <w:rFonts w:hint="eastAsia" w:eastAsia="仿宋_GB2312"/>
                <w:b/>
                <w:bCs/>
                <w:kern w:val="0"/>
                <w:szCs w:val="21"/>
                <w:highlight w:val="none"/>
              </w:rPr>
              <w:t>24</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指政府或经政府批准为新市民、青年人等住房困难群体所提供的以建筑面积不超过70平方米的小户型为主，且住房租金低于同地段同品质市场化租赁住房租金的租赁住房用地。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公共租赁住房</w:t>
            </w:r>
            <w:r>
              <w:rPr>
                <w:rFonts w:hint="eastAsia" w:eastAsia="仿宋_GB2312"/>
                <w:kern w:val="0"/>
                <w:szCs w:val="21"/>
                <w:highlight w:val="none"/>
              </w:rPr>
              <w:t>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0</w:t>
            </w:r>
            <w:r>
              <w:rPr>
                <w:rFonts w:eastAsia="仿宋_GB2312"/>
                <w:b/>
                <w:bCs/>
                <w:kern w:val="0"/>
                <w:szCs w:val="21"/>
                <w:highlight w:val="none"/>
              </w:rPr>
              <w:t>.</w:t>
            </w:r>
            <w:r>
              <w:rPr>
                <w:rFonts w:hint="eastAsia" w:eastAsia="仿宋_GB2312"/>
                <w:b/>
                <w:bCs/>
                <w:kern w:val="0"/>
                <w:szCs w:val="21"/>
                <w:highlight w:val="none"/>
              </w:rPr>
              <w:t>24</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指限定建设标准和租金水平，面向符合规定条件的城镇中等偏下收入住房困难家庭、新就业无房职工和在城镇稳定就业的外来务工人员出租的保障性住房用地。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经济适用</w:t>
            </w:r>
            <w:r>
              <w:rPr>
                <w:rFonts w:hint="eastAsia" w:eastAsia="仿宋_GB2312"/>
                <w:kern w:val="0"/>
                <w:szCs w:val="21"/>
                <w:highlight w:val="none"/>
              </w:rPr>
              <w:t>住</w:t>
            </w:r>
            <w:r>
              <w:rPr>
                <w:rFonts w:eastAsia="仿宋_GB2312"/>
                <w:kern w:val="0"/>
                <w:szCs w:val="21"/>
                <w:highlight w:val="none"/>
              </w:rPr>
              <w:t>房</w:t>
            </w:r>
            <w:r>
              <w:rPr>
                <w:rFonts w:hint="eastAsia" w:eastAsia="仿宋_GB2312"/>
                <w:kern w:val="0"/>
                <w:szCs w:val="21"/>
                <w:highlight w:val="none"/>
              </w:rPr>
              <w:t>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0</w:t>
            </w:r>
            <w:r>
              <w:rPr>
                <w:rFonts w:eastAsia="仿宋_GB2312"/>
                <w:b/>
                <w:bCs/>
                <w:kern w:val="0"/>
                <w:szCs w:val="21"/>
                <w:highlight w:val="none"/>
              </w:rPr>
              <w:t>.4</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指政府提供政策优惠，限定套型面积和销售价格，按照合理标准建设，面向城市低收入住房困难家庭供应，具有保障性质的政策性住房用地。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1201"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共有产权</w:t>
            </w:r>
            <w:r>
              <w:rPr>
                <w:rFonts w:hint="eastAsia" w:eastAsia="仿宋_GB2312"/>
                <w:kern w:val="0"/>
                <w:szCs w:val="21"/>
                <w:highlight w:val="none"/>
              </w:rPr>
              <w:t>住</w:t>
            </w:r>
            <w:r>
              <w:rPr>
                <w:rFonts w:eastAsia="仿宋_GB2312"/>
                <w:kern w:val="0"/>
                <w:szCs w:val="21"/>
                <w:highlight w:val="none"/>
              </w:rPr>
              <w:t>房</w:t>
            </w:r>
            <w:r>
              <w:rPr>
                <w:rFonts w:hint="eastAsia" w:eastAsia="仿宋_GB2312"/>
                <w:kern w:val="0"/>
                <w:szCs w:val="21"/>
                <w:highlight w:val="none"/>
              </w:rPr>
              <w:t>用地</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hint="eastAsia" w:eastAsia="仿宋_GB2312"/>
                <w:b/>
                <w:bCs/>
                <w:kern w:val="0"/>
                <w:szCs w:val="21"/>
                <w:highlight w:val="none"/>
              </w:rPr>
              <w:t>0</w:t>
            </w:r>
            <w:r>
              <w:rPr>
                <w:rFonts w:eastAsia="仿宋_GB2312"/>
                <w:b/>
                <w:bCs/>
                <w:kern w:val="0"/>
                <w:szCs w:val="21"/>
                <w:highlight w:val="none"/>
              </w:rPr>
              <w:t>.</w:t>
            </w:r>
            <w:r>
              <w:rPr>
                <w:rFonts w:hint="eastAsia" w:eastAsia="仿宋_GB2312"/>
                <w:b/>
                <w:bCs/>
                <w:kern w:val="0"/>
                <w:szCs w:val="21"/>
                <w:highlight w:val="none"/>
              </w:rPr>
              <w:t>45</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指政府提供政策支持，由建设单位开发建设，销售价格低于同地段、同品质商品住房价格水平，并限定使用和处分权利，实行政府与购房人按份共有产权的政策性商品住房用地。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工矿仓储用地</w:t>
            </w:r>
          </w:p>
        </w:tc>
        <w:tc>
          <w:tcPr>
            <w:tcW w:w="820" w:type="dxa"/>
            <w:vMerge w:val="restart"/>
            <w:noWrap w:val="0"/>
            <w:vAlign w:val="center"/>
          </w:tcPr>
          <w:p>
            <w:pPr>
              <w:widowControl/>
              <w:jc w:val="center"/>
              <w:rPr>
                <w:rFonts w:eastAsia="仿宋_GB2312"/>
                <w:kern w:val="0"/>
                <w:szCs w:val="21"/>
                <w:highlight w:val="none"/>
              </w:rPr>
            </w:pPr>
            <w:r>
              <w:rPr>
                <w:rFonts w:hint="eastAsia" w:eastAsia="仿宋_GB2312"/>
                <w:kern w:val="0"/>
                <w:szCs w:val="21"/>
                <w:highlight w:val="none"/>
              </w:rPr>
              <w:t>工业用地</w:t>
            </w: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rPr>
              <w:t>工业用地（</w:t>
            </w:r>
            <w:r>
              <w:rPr>
                <w:rFonts w:hint="eastAsia" w:eastAsia="仿宋_GB2312"/>
                <w:kern w:val="0"/>
                <w:szCs w:val="21"/>
                <w:highlight w:val="none"/>
              </w:rPr>
              <w:t>M</w:t>
            </w:r>
            <w:r>
              <w:rPr>
                <w:rFonts w:eastAsia="仿宋_GB2312"/>
                <w:kern w:val="0"/>
                <w:szCs w:val="21"/>
                <w:highlight w:val="none"/>
              </w:rPr>
              <w:t>1）</w:t>
            </w:r>
          </w:p>
        </w:tc>
        <w:tc>
          <w:tcPr>
            <w:tcW w:w="897" w:type="dxa"/>
            <w:vMerge w:val="restart"/>
            <w:noWrap w:val="0"/>
            <w:vAlign w:val="center"/>
          </w:tcPr>
          <w:p>
            <w:pPr>
              <w:widowControl/>
              <w:jc w:val="center"/>
              <w:rPr>
                <w:rFonts w:eastAsia="仿宋_GB2312"/>
                <w:b/>
                <w:bCs/>
                <w:kern w:val="0"/>
                <w:szCs w:val="21"/>
                <w:highlight w:val="none"/>
              </w:rPr>
            </w:pPr>
            <w:r>
              <w:rPr>
                <w:rFonts w:eastAsia="仿宋_GB2312"/>
                <w:b/>
                <w:bCs/>
                <w:kern w:val="0"/>
                <w:szCs w:val="21"/>
                <w:highlight w:val="none"/>
              </w:rPr>
              <w:t>工业</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指工业生产、产品加工制造、机械和设备维修及直接为工业生产等服务的附属设施用地。包括</w:t>
            </w:r>
            <w:r>
              <w:rPr>
                <w:rFonts w:hint="eastAsia" w:eastAsia="仿宋_GB2312"/>
                <w:kern w:val="0"/>
                <w:szCs w:val="21"/>
                <w:highlight w:val="none"/>
              </w:rPr>
              <w:t>《横琴粤澳深度合作区建设总体方案》提及的澳门品牌工业中的毛坯钻石、宝石产业用作加工制造场所用地。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center"/>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产业孵化器用地</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hint="eastAsia" w:eastAsia="仿宋_GB2312"/>
                <w:b/>
                <w:bCs/>
                <w:color w:val="FF0000"/>
                <w:kern w:val="0"/>
                <w:szCs w:val="21"/>
                <w:highlight w:val="none"/>
              </w:rPr>
            </w:pPr>
            <w:r>
              <w:rPr>
                <w:rFonts w:eastAsia="仿宋_GB2312"/>
                <w:b/>
                <w:bCs/>
                <w:kern w:val="0"/>
                <w:szCs w:val="21"/>
                <w:highlight w:val="none"/>
              </w:rPr>
              <w:t>1.1</w:t>
            </w:r>
          </w:p>
        </w:tc>
        <w:tc>
          <w:tcPr>
            <w:tcW w:w="4581" w:type="dxa"/>
            <w:noWrap w:val="0"/>
            <w:vAlign w:val="center"/>
          </w:tcPr>
          <w:p>
            <w:pPr>
              <w:widowControl/>
              <w:jc w:val="left"/>
              <w:rPr>
                <w:rFonts w:hint="eastAsia"/>
                <w:highlight w:val="none"/>
              </w:rPr>
            </w:pPr>
            <w:r>
              <w:rPr>
                <w:rFonts w:eastAsia="仿宋_GB2312"/>
                <w:kern w:val="0"/>
                <w:szCs w:val="21"/>
                <w:highlight w:val="none"/>
              </w:rPr>
              <w:t>指为促进科技成果转化、培养高新技术企业和企业家，开发建设孵化器项目以及融合与生产紧密相关的无污染生产等创新型产业功能及相关配套设施的用地。包括</w:t>
            </w:r>
            <w:r>
              <w:rPr>
                <w:rFonts w:hint="eastAsia" w:eastAsia="仿宋_GB2312"/>
                <w:kern w:val="0"/>
                <w:szCs w:val="21"/>
                <w:highlight w:val="none"/>
              </w:rPr>
              <w:t>《横琴粤澳深度合作区建设总体方案》提及的科技研发和高端制造产业用地中的集成电路、电子元器件、新材料、新能源、大数据、人工智能、物联网、生物医药和中医药产业用地。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1144"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工矿仓储用地</w:t>
            </w: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M</w:t>
            </w:r>
            <w:r>
              <w:rPr>
                <w:rFonts w:eastAsia="仿宋_GB2312"/>
                <w:kern w:val="0"/>
                <w:szCs w:val="21"/>
                <w:highlight w:val="none"/>
              </w:rPr>
              <w:t>0</w:t>
            </w:r>
            <w:r>
              <w:rPr>
                <w:rFonts w:hint="eastAsia" w:eastAsia="仿宋_GB2312"/>
                <w:kern w:val="0"/>
                <w:szCs w:val="21"/>
                <w:highlight w:val="none"/>
              </w:rPr>
              <w:t>新型产业用地</w:t>
            </w:r>
          </w:p>
        </w:tc>
        <w:tc>
          <w:tcPr>
            <w:tcW w:w="897" w:type="dxa"/>
            <w:vMerge w:val="restart"/>
            <w:noWrap w:val="0"/>
            <w:vAlign w:val="center"/>
          </w:tcPr>
          <w:p>
            <w:pPr>
              <w:jc w:val="center"/>
              <w:rPr>
                <w:rFonts w:eastAsia="仿宋_GB2312"/>
                <w:b/>
                <w:bCs/>
                <w:kern w:val="0"/>
                <w:szCs w:val="21"/>
                <w:highlight w:val="none"/>
              </w:rPr>
            </w:pPr>
            <w:r>
              <w:rPr>
                <w:rFonts w:eastAsia="仿宋_GB2312"/>
                <w:b/>
                <w:bCs/>
                <w:kern w:val="0"/>
                <w:szCs w:val="21"/>
                <w:highlight w:val="none"/>
              </w:rPr>
              <w:t>工业</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hint="eastAsia" w:eastAsia="仿宋_GB2312"/>
                <w:b/>
                <w:bCs/>
                <w:color w:val="FF0000"/>
                <w:kern w:val="0"/>
                <w:szCs w:val="21"/>
                <w:highlight w:val="none"/>
              </w:rPr>
            </w:pPr>
            <w:r>
              <w:rPr>
                <w:rFonts w:eastAsia="仿宋_GB2312"/>
                <w:b/>
                <w:bCs/>
                <w:kern w:val="0"/>
                <w:szCs w:val="21"/>
                <w:highlight w:val="none"/>
              </w:rPr>
              <w:t>1.8</w:t>
            </w:r>
          </w:p>
        </w:tc>
        <w:tc>
          <w:tcPr>
            <w:tcW w:w="4581" w:type="dxa"/>
            <w:noWrap w:val="0"/>
            <w:vAlign w:val="center"/>
          </w:tcPr>
          <w:p>
            <w:pPr>
              <w:widowControl/>
              <w:jc w:val="left"/>
              <w:rPr>
                <w:rFonts w:hint="eastAsia" w:eastAsia="仿宋_GB2312"/>
                <w:kern w:val="0"/>
                <w:szCs w:val="21"/>
                <w:highlight w:val="none"/>
              </w:rPr>
            </w:pPr>
            <w:r>
              <w:rPr>
                <w:rFonts w:hint="eastAsia" w:eastAsia="仿宋_GB2312"/>
                <w:kern w:val="0"/>
                <w:szCs w:val="21"/>
                <w:highlight w:val="none"/>
              </w:rPr>
              <w:t>指融合与生产密切相关的研发、试验、创意、无污染生产等创新型产业功能以及配套相关商业、宿舍、可附设的市政设施、交通设施及其它配套辅助设施的用地。包括横琴粤澳深度合作区历史已出让的符合原《横琴新区产业发展指导目录》的文化创意产业用地、科教研发产业用地、高新技术产业用地。（修正后为楼面地价）</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1144"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仓储用地</w:t>
            </w:r>
          </w:p>
        </w:tc>
        <w:tc>
          <w:tcPr>
            <w:tcW w:w="1170" w:type="dxa"/>
            <w:noWrap w:val="0"/>
            <w:vAlign w:val="center"/>
          </w:tcPr>
          <w:p>
            <w:pPr>
              <w:widowControl/>
              <w:jc w:val="center"/>
              <w:rPr>
                <w:rFonts w:hint="eastAsia"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jc w:val="left"/>
              <w:rPr>
                <w:rFonts w:eastAsia="仿宋_GB2312"/>
                <w:b/>
                <w:bCs/>
                <w:kern w:val="0"/>
                <w:szCs w:val="21"/>
                <w:highlight w:val="none"/>
              </w:rPr>
            </w:pPr>
          </w:p>
        </w:tc>
        <w:tc>
          <w:tcPr>
            <w:tcW w:w="890" w:type="dxa"/>
            <w:noWrap w:val="0"/>
            <w:vAlign w:val="center"/>
          </w:tcPr>
          <w:p>
            <w:pPr>
              <w:widowControl/>
              <w:jc w:val="center"/>
              <w:rPr>
                <w:rFonts w:eastAsia="仿宋_GB2312"/>
                <w:b/>
                <w:color w:val="FF0000"/>
                <w:kern w:val="0"/>
                <w:szCs w:val="21"/>
                <w:highlight w:val="none"/>
              </w:rPr>
            </w:pPr>
            <w:r>
              <w:rPr>
                <w:rFonts w:hint="eastAsia"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hint="eastAsia" w:eastAsia="仿宋_GB2312"/>
                <w:kern w:val="0"/>
                <w:szCs w:val="21"/>
                <w:highlight w:val="none"/>
              </w:rPr>
              <w:t>指用于物资储备、中转的场所用地，包括物流仓储设施、配送中心、转运中心等。</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公共管理与公共服务用地</w:t>
            </w: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机关团体用地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restart"/>
            <w:noWrap w:val="0"/>
            <w:vAlign w:val="center"/>
          </w:tcPr>
          <w:p>
            <w:pPr>
              <w:widowControl/>
              <w:jc w:val="center"/>
              <w:rPr>
                <w:rFonts w:eastAsia="仿宋_GB2312"/>
                <w:b/>
                <w:bCs/>
                <w:kern w:val="0"/>
                <w:szCs w:val="21"/>
                <w:highlight w:val="none"/>
              </w:rPr>
            </w:pPr>
            <w:r>
              <w:rPr>
                <w:rFonts w:eastAsia="仿宋_GB2312"/>
                <w:b/>
                <w:bCs/>
                <w:kern w:val="0"/>
                <w:szCs w:val="21"/>
                <w:highlight w:val="none"/>
              </w:rPr>
              <w:t>公共管理与公共服务用地</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指用于党政机关、社会团体、群众自治组织等的用地。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新闻出版用地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指用于广播电台、电视台、电影厂、报社、杂志社、通讯社、出版社等的用地。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40"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体育用地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指体育</w:t>
            </w:r>
            <w:r>
              <w:rPr>
                <w:rFonts w:hint="eastAsia" w:eastAsia="仿宋_GB2312"/>
                <w:kern w:val="0"/>
                <w:szCs w:val="21"/>
                <w:highlight w:val="none"/>
              </w:rPr>
              <w:t>场</w:t>
            </w:r>
            <w:r>
              <w:rPr>
                <w:rFonts w:eastAsia="仿宋_GB2312"/>
                <w:kern w:val="0"/>
                <w:szCs w:val="21"/>
                <w:highlight w:val="none"/>
              </w:rPr>
              <w:t>馆和体育训练基地等用地，包括室内外体育运动用地，如体育场馆、游泳</w:t>
            </w:r>
            <w:r>
              <w:rPr>
                <w:rFonts w:hint="eastAsia" w:eastAsia="仿宋_GB2312"/>
                <w:kern w:val="0"/>
                <w:szCs w:val="21"/>
                <w:highlight w:val="none"/>
              </w:rPr>
              <w:t>场</w:t>
            </w:r>
            <w:r>
              <w:rPr>
                <w:rFonts w:eastAsia="仿宋_GB2312"/>
                <w:kern w:val="0"/>
                <w:szCs w:val="21"/>
                <w:highlight w:val="none"/>
              </w:rPr>
              <w:t>馆、各类球场及其附属的业余体校等用地，溜冰场、跳伞场、摩托车场、射击场，以及水上运动的陆域部分等用地，以及为体育运动专设的训练基地用地，不包括学校等机构专用的体育设施用地。包括</w:t>
            </w:r>
            <w:r>
              <w:rPr>
                <w:rFonts w:hint="eastAsia" w:eastAsia="仿宋_GB2312"/>
                <w:kern w:val="0"/>
                <w:szCs w:val="21"/>
                <w:highlight w:val="none"/>
              </w:rPr>
              <w:t>《横琴粤澳深度合作区建设总体方案》提及的文旅会展商贸产业中的体育赛事观光用地。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文化设施用地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指图书、展览等公共文化活动设施用地。包括公共图书馆、博物馆、档案馆、科技馆、纪念馆、美术馆和展览馆等设施用地；综合文化活动中心、文化馆、青少年宫、儿童活动中心、老年活动中心等设施用地</w:t>
            </w:r>
            <w:r>
              <w:rPr>
                <w:rFonts w:hint="eastAsia" w:eastAsia="仿宋_GB2312"/>
                <w:kern w:val="0"/>
                <w:szCs w:val="21"/>
                <w:highlight w:val="none"/>
              </w:rPr>
              <w:t>。</w:t>
            </w:r>
            <w:r>
              <w:rPr>
                <w:rFonts w:eastAsia="仿宋_GB2312"/>
                <w:kern w:val="0"/>
                <w:szCs w:val="21"/>
                <w:highlight w:val="none"/>
              </w:rPr>
              <w:t xml:space="preserve"> </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教育用地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指用于各类教育用地，包括高等院校、中等专业学校、中学、小学、幼儿园及其附属设施用地，聋、哑、盲人学校及工读学校用地，以及为学校配建的独立地段的学生生活用地。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科研用地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指用于独立的科研、勘测、研发、设计、检验检测、技术推广、环境评估与监测、科普等科研事业单位及其附属设施用地。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医疗卫生用地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医疗、保健、卫生、防疫、康复和急救设施等用地。包括综合医院、专科医院、社区卫生服务中心等用地；卫生防疫站、专科防治所、检验中心和动物检疫站等用地；对环境有特殊要求的传染病、精神病等专科医院用地；急救中心、血库等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社会福利用地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0.8</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指为社会提供福利和慈善服务的设施及其附属设施用地。包括的福利院、养老院</w:t>
            </w:r>
            <w:r>
              <w:rPr>
                <w:rFonts w:hint="eastAsia" w:eastAsia="仿宋_GB2312"/>
                <w:kern w:val="0"/>
                <w:szCs w:val="21"/>
                <w:highlight w:val="none"/>
              </w:rPr>
              <w:t>、养老设施</w:t>
            </w:r>
            <w:r>
              <w:rPr>
                <w:rFonts w:eastAsia="仿宋_GB2312"/>
                <w:kern w:val="0"/>
                <w:szCs w:val="21"/>
                <w:highlight w:val="none"/>
              </w:rPr>
              <w:t>、孤儿院等用地。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center"/>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公用设施用地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公用设施用地</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1.0</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指用于城乡基础设施的用地。包括供水、排水、污水处理、供电、供热、供气、邮政、电信、消防、环卫、公用设施维修等用地以及公共厕所用地、环境卫生设施用地、制冷站、综合管沟控制中心等用地</w:t>
            </w:r>
            <w:r>
              <w:rPr>
                <w:rFonts w:hint="eastAsia" w:eastAsia="仿宋_GB2312"/>
                <w:kern w:val="0"/>
                <w:szCs w:val="21"/>
                <w:highlight w:val="none"/>
              </w:rPr>
              <w:t>。</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1361" w:hRule="atLeast"/>
          <w:jc w:val="center"/>
        </w:trPr>
        <w:tc>
          <w:tcPr>
            <w:tcW w:w="599" w:type="dxa"/>
            <w:noWrap w:val="0"/>
            <w:vAlign w:val="center"/>
          </w:tcPr>
          <w:p>
            <w:pPr>
              <w:widowControl/>
              <w:jc w:val="center"/>
              <w:rPr>
                <w:rFonts w:eastAsia="仿宋_GB2312"/>
                <w:kern w:val="0"/>
                <w:szCs w:val="21"/>
                <w:highlight w:val="none"/>
              </w:rPr>
            </w:pPr>
            <w:r>
              <w:rPr>
                <w:rFonts w:eastAsia="仿宋_GB2312"/>
                <w:kern w:val="0"/>
                <w:szCs w:val="21"/>
                <w:highlight w:val="none"/>
              </w:rPr>
              <w:t>公共管理与公共服务用地</w:t>
            </w: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公园与绿地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restart"/>
            <w:noWrap w:val="0"/>
            <w:vAlign w:val="center"/>
          </w:tcPr>
          <w:p>
            <w:pPr>
              <w:widowControl/>
              <w:jc w:val="center"/>
              <w:rPr>
                <w:rFonts w:eastAsia="仿宋_GB2312"/>
                <w:b/>
                <w:bCs/>
                <w:kern w:val="0"/>
                <w:szCs w:val="21"/>
                <w:highlight w:val="none"/>
              </w:rPr>
            </w:pPr>
            <w:r>
              <w:rPr>
                <w:rFonts w:eastAsia="仿宋_GB2312"/>
                <w:b/>
                <w:bCs/>
                <w:kern w:val="0"/>
                <w:szCs w:val="21"/>
                <w:highlight w:val="none"/>
              </w:rPr>
              <w:t>公用设施用地</w:t>
            </w:r>
            <w:r>
              <w:rPr>
                <w:rFonts w:hint="eastAsia" w:eastAsia="仿宋_GB2312"/>
                <w:b/>
                <w:bCs/>
                <w:kern w:val="0"/>
                <w:szCs w:val="21"/>
                <w:highlight w:val="none"/>
              </w:rPr>
              <w:t>公示</w:t>
            </w:r>
            <w:r>
              <w:rPr>
                <w:rFonts w:eastAsia="仿宋_GB2312"/>
                <w:b/>
                <w:bCs/>
                <w:kern w:val="0"/>
                <w:szCs w:val="21"/>
                <w:highlight w:val="none"/>
              </w:rPr>
              <w:t>地价</w:t>
            </w:r>
          </w:p>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0.7</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指城镇、村庄范围内的公园、动物园、植物园、街心花园、广场和用于休憩、美化环境及防护的绿化用地。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643" w:hRule="atLeast"/>
          <w:jc w:val="center"/>
        </w:trPr>
        <w:tc>
          <w:tcPr>
            <w:tcW w:w="599" w:type="dxa"/>
            <w:noWrap w:val="0"/>
            <w:vAlign w:val="center"/>
          </w:tcPr>
          <w:p>
            <w:pPr>
              <w:widowControl/>
              <w:jc w:val="center"/>
              <w:rPr>
                <w:rFonts w:eastAsia="仿宋_GB2312"/>
                <w:kern w:val="0"/>
                <w:szCs w:val="21"/>
                <w:highlight w:val="none"/>
              </w:rPr>
            </w:pPr>
            <w:r>
              <w:rPr>
                <w:rFonts w:eastAsia="仿宋_GB2312"/>
                <w:kern w:val="0"/>
                <w:szCs w:val="21"/>
                <w:highlight w:val="none"/>
              </w:rPr>
              <w:t>交通运输用地</w:t>
            </w: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铁路用地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0.7</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指用于铁道线路以及场站的用地。包括征地范围内的路堤、路堑、道沟、桥梁、林木等用地。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交通运输用地</w:t>
            </w:r>
          </w:p>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轨道交通用地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0.7</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指用于轻轨、现代有轨电车、单轨等轨道交通用地场站的用地，以及场站的用地。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center"/>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公路用地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0.7</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指用于国道、省道、县道和乡道的用地。包括征地范围内的路堤、路堑、道沟、桥梁、汽车停靠站、林木及直接为其服务的附属用地。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城镇村道路用地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0.7</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指用于城镇、村庄范围内公用道路及行道树用地。包括快速路、主干路、次干路、支路、专用人行道和非机动车道，及其交叉口等。</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管道运输用地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0.7</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指用于运输煤炭、矿石、石油、天然气等管道及其相应附属设施的地上部分用地。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港口码头用地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left"/>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1.5</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指用于人工修建的客运、货运、捕捞及工程、工作船舶停靠的场所及其附属建筑物的用地，不包括常水位以下部分。</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交通服务场站用地</w:t>
            </w:r>
          </w:p>
        </w:tc>
        <w:tc>
          <w:tcPr>
            <w:tcW w:w="1170" w:type="dxa"/>
            <w:noWrap w:val="0"/>
            <w:vAlign w:val="center"/>
          </w:tcPr>
          <w:p>
            <w:pPr>
              <w:widowControl/>
              <w:jc w:val="center"/>
              <w:rPr>
                <w:rFonts w:eastAsia="仿宋_GB2312"/>
                <w:kern w:val="0"/>
                <w:szCs w:val="21"/>
                <w:highlight w:val="none"/>
              </w:rPr>
            </w:pPr>
            <w:r>
              <w:rPr>
                <w:rFonts w:eastAsia="仿宋_GB2312"/>
                <w:kern w:val="0"/>
                <w:szCs w:val="21"/>
                <w:highlight w:val="none"/>
                <w:lang w:bidi="ar"/>
              </w:rPr>
              <w:t>口岸、站场用地</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kern w:val="0"/>
                <w:szCs w:val="21"/>
                <w:highlight w:val="none"/>
                <w:lang w:bidi="ar"/>
              </w:rPr>
              <w:t>1.2</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lang w:bidi="ar"/>
              </w:rPr>
              <w:t>指城镇、村庄内交通服务设施用地，包括口岸、公交枢纽及其附属设施用地、公路长途客运站、公共交通场站、公共停车场（含设有充电桩的露天停车场）、教练场等用地，不包括交通指挥中心、交通队用地。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vMerge w:val="continue"/>
            <w:noWrap w:val="0"/>
            <w:vAlign w:val="center"/>
          </w:tcPr>
          <w:p>
            <w:pPr>
              <w:widowControl/>
              <w:jc w:val="center"/>
              <w:rPr>
                <w:rFonts w:eastAsia="仿宋_GB2312"/>
                <w:kern w:val="0"/>
                <w:szCs w:val="21"/>
                <w:highlight w:val="none"/>
              </w:rPr>
            </w:pPr>
          </w:p>
        </w:tc>
        <w:tc>
          <w:tcPr>
            <w:tcW w:w="1170" w:type="dxa"/>
            <w:noWrap w:val="0"/>
            <w:vAlign w:val="center"/>
          </w:tcPr>
          <w:p>
            <w:pPr>
              <w:widowControl/>
              <w:jc w:val="center"/>
              <w:rPr>
                <w:rFonts w:eastAsia="仿宋_GB2312"/>
                <w:kern w:val="0"/>
                <w:szCs w:val="21"/>
                <w:highlight w:val="none"/>
              </w:rPr>
            </w:pPr>
            <w:r>
              <w:rPr>
                <w:rFonts w:hint="eastAsia" w:ascii="仿宋_GB2312" w:hAnsi="宋体" w:eastAsia="仿宋_GB2312" w:cs="仿宋_GB2312"/>
                <w:kern w:val="0"/>
                <w:szCs w:val="21"/>
                <w:highlight w:val="none"/>
                <w:lang w:bidi="ar"/>
              </w:rPr>
              <w:t>停车楼、库用地</w:t>
            </w:r>
          </w:p>
        </w:tc>
        <w:tc>
          <w:tcPr>
            <w:tcW w:w="897"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住宅</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hint="default" w:eastAsia="仿宋_GB2312"/>
                <w:b/>
                <w:bCs/>
                <w:kern w:val="0"/>
                <w:szCs w:val="21"/>
                <w:highlight w:val="none"/>
                <w:lang w:val="en-US" w:eastAsia="zh-CN"/>
              </w:rPr>
            </w:pPr>
            <w:r>
              <w:rPr>
                <w:rFonts w:hint="eastAsia" w:eastAsia="仿宋_GB2312"/>
                <w:b/>
                <w:bCs/>
                <w:kern w:val="0"/>
                <w:szCs w:val="21"/>
                <w:highlight w:val="none"/>
              </w:rPr>
              <w:t>0</w:t>
            </w:r>
            <w:r>
              <w:rPr>
                <w:rFonts w:eastAsia="仿宋_GB2312"/>
                <w:b/>
                <w:bCs/>
                <w:kern w:val="0"/>
                <w:szCs w:val="21"/>
                <w:highlight w:val="none"/>
              </w:rPr>
              <w:t>.</w:t>
            </w:r>
            <w:r>
              <w:rPr>
                <w:rFonts w:hint="eastAsia" w:eastAsia="仿宋_GB2312"/>
                <w:b/>
                <w:bCs/>
                <w:kern w:val="0"/>
                <w:szCs w:val="21"/>
                <w:highlight w:val="none"/>
                <w:lang w:val="en-US" w:eastAsia="zh-CN"/>
              </w:rPr>
              <w:t>08</w:t>
            </w:r>
          </w:p>
        </w:tc>
        <w:tc>
          <w:tcPr>
            <w:tcW w:w="4581" w:type="dxa"/>
            <w:noWrap w:val="0"/>
            <w:vAlign w:val="center"/>
          </w:tcPr>
          <w:p>
            <w:pPr>
              <w:widowControl/>
              <w:jc w:val="left"/>
              <w:rPr>
                <w:rFonts w:eastAsia="仿宋_GB2312"/>
                <w:kern w:val="0"/>
                <w:szCs w:val="21"/>
                <w:highlight w:val="none"/>
              </w:rPr>
            </w:pPr>
            <w:r>
              <w:rPr>
                <w:rFonts w:hint="eastAsia" w:ascii="仿宋_GB2312" w:hAnsi="宋体" w:eastAsia="仿宋_GB2312" w:cs="仿宋_GB2312"/>
                <w:kern w:val="0"/>
                <w:szCs w:val="21"/>
                <w:highlight w:val="none"/>
                <w:lang w:bidi="ar"/>
              </w:rPr>
              <w:t>指用于停放和保管车辆及其附属设施的独立占地项目用地</w:t>
            </w:r>
            <w:r>
              <w:rPr>
                <w:rFonts w:hint="eastAsia" w:ascii="仿宋_GB2312" w:hAnsi="宋体" w:eastAsia="仿宋_GB2312" w:cs="仿宋_GB2312"/>
                <w:kern w:val="0"/>
                <w:szCs w:val="21"/>
                <w:highlight w:val="none"/>
                <w:lang w:val="en-US" w:eastAsia="zh-CN" w:bidi="ar"/>
              </w:rPr>
              <w:t>和为</w:t>
            </w:r>
            <w:r>
              <w:rPr>
                <w:rFonts w:hint="eastAsia" w:ascii="仿宋_GB2312" w:hAnsi="宋体" w:eastAsia="仿宋_GB2312" w:cs="仿宋_GB2312"/>
                <w:kern w:val="0"/>
                <w:szCs w:val="21"/>
                <w:highlight w:val="none"/>
                <w:lang w:bidi="ar"/>
              </w:rPr>
              <w:t>宗地配套使用非独立占地的停车场（楼、库）用地，不包括公共汽车站场、交通运输站的停车场所用地。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restart"/>
            <w:noWrap w:val="0"/>
            <w:vAlign w:val="center"/>
          </w:tcPr>
          <w:p>
            <w:pPr>
              <w:widowControl/>
              <w:jc w:val="center"/>
              <w:rPr>
                <w:rFonts w:eastAsia="仿宋_GB2312"/>
                <w:kern w:val="0"/>
                <w:szCs w:val="21"/>
                <w:highlight w:val="none"/>
              </w:rPr>
            </w:pPr>
            <w:r>
              <w:rPr>
                <w:rFonts w:eastAsia="仿宋_GB2312"/>
                <w:kern w:val="0"/>
                <w:szCs w:val="21"/>
                <w:highlight w:val="none"/>
              </w:rPr>
              <w:t>特殊用地</w:t>
            </w: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宗教用地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restart"/>
            <w:noWrap w:val="0"/>
            <w:vAlign w:val="center"/>
          </w:tcPr>
          <w:p>
            <w:pPr>
              <w:jc w:val="center"/>
              <w:rPr>
                <w:rFonts w:eastAsia="仿宋_GB2312"/>
                <w:b/>
                <w:bCs/>
                <w:kern w:val="0"/>
                <w:szCs w:val="21"/>
                <w:highlight w:val="none"/>
              </w:rPr>
            </w:pPr>
            <w:r>
              <w:rPr>
                <w:rFonts w:eastAsia="仿宋_GB2312"/>
                <w:b/>
                <w:bCs/>
                <w:kern w:val="0"/>
                <w:szCs w:val="21"/>
                <w:highlight w:val="none"/>
              </w:rPr>
              <w:t>公共管理与公共服务用地</w:t>
            </w:r>
            <w:r>
              <w:rPr>
                <w:rFonts w:hint="eastAsia" w:eastAsia="仿宋_GB2312"/>
                <w:b/>
                <w:bCs/>
                <w:kern w:val="0"/>
                <w:szCs w:val="21"/>
                <w:highlight w:val="none"/>
              </w:rPr>
              <w:t>公示</w:t>
            </w:r>
            <w:r>
              <w:rPr>
                <w:rFonts w:eastAsia="仿宋_GB2312"/>
                <w:b/>
                <w:bCs/>
                <w:kern w:val="0"/>
                <w:szCs w:val="21"/>
                <w:highlight w:val="none"/>
              </w:rPr>
              <w:t>地价</w:t>
            </w: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1.6</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指专门用于宗教活动的庙宇、寺院、道观、教堂等宗教自用地。</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殡葬用地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jc w:val="center"/>
              <w:rPr>
                <w:rFonts w:eastAsia="仿宋_GB2312"/>
                <w:b/>
                <w:bCs/>
                <w:kern w:val="0"/>
                <w:szCs w:val="21"/>
                <w:highlight w:val="none"/>
              </w:rPr>
            </w:pPr>
          </w:p>
        </w:tc>
        <w:tc>
          <w:tcPr>
            <w:tcW w:w="890" w:type="dxa"/>
            <w:noWrap w:val="0"/>
            <w:vAlign w:val="center"/>
          </w:tcPr>
          <w:p>
            <w:pPr>
              <w:widowControl/>
              <w:jc w:val="center"/>
              <w:rPr>
                <w:rFonts w:eastAsia="仿宋_GB2312"/>
                <w:b/>
                <w:bCs/>
                <w:kern w:val="0"/>
                <w:szCs w:val="21"/>
                <w:highlight w:val="none"/>
              </w:rPr>
            </w:pPr>
            <w:r>
              <w:rPr>
                <w:rFonts w:eastAsia="仿宋_GB2312"/>
                <w:b/>
                <w:bCs/>
                <w:kern w:val="0"/>
                <w:szCs w:val="21"/>
                <w:highlight w:val="none"/>
              </w:rPr>
              <w:t>4.5</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指陵园、墓地、殡葬场所用地（经用地类型修正后为该用途的地面单价，不作容积率修正）</w:t>
            </w:r>
            <w:r>
              <w:rPr>
                <w:rFonts w:hint="eastAsia" w:eastAsia="仿宋_GB2312"/>
                <w:kern w:val="0"/>
                <w:szCs w:val="21"/>
                <w:highlight w:val="none"/>
              </w:rPr>
              <w:t>。</w:t>
            </w:r>
          </w:p>
        </w:tc>
      </w:tr>
      <w:tr>
        <w:tblPrEx>
          <w:tblBorders>
            <w:top w:val="thinThickSmallGap" w:color="000000" w:sz="12" w:space="0"/>
            <w:left w:val="thinThickSmallGap" w:color="000000" w:sz="12" w:space="0"/>
            <w:bottom w:val="thickThinSmallGap" w:color="000000" w:sz="12" w:space="0"/>
            <w:right w:val="thickThinSmallGap" w:color="000000" w:sz="12" w:space="0"/>
            <w:insideH w:val="single" w:color="000000" w:sz="4" w:space="0"/>
            <w:insideV w:val="single" w:color="000000" w:sz="4" w:space="0"/>
          </w:tblBorders>
          <w:tblCellMar>
            <w:top w:w="15" w:type="dxa"/>
            <w:left w:w="15" w:type="dxa"/>
            <w:bottom w:w="15" w:type="dxa"/>
            <w:right w:w="15" w:type="dxa"/>
          </w:tblCellMar>
        </w:tblPrEx>
        <w:trPr>
          <w:cantSplit/>
          <w:trHeight w:val="567" w:hRule="atLeast"/>
          <w:jc w:val="center"/>
        </w:trPr>
        <w:tc>
          <w:tcPr>
            <w:tcW w:w="599" w:type="dxa"/>
            <w:vMerge w:val="continue"/>
            <w:noWrap w:val="0"/>
            <w:vAlign w:val="center"/>
          </w:tcPr>
          <w:p>
            <w:pPr>
              <w:widowControl/>
              <w:jc w:val="left"/>
              <w:rPr>
                <w:rFonts w:eastAsia="仿宋_GB2312"/>
                <w:kern w:val="0"/>
                <w:szCs w:val="21"/>
                <w:highlight w:val="none"/>
              </w:rPr>
            </w:pPr>
          </w:p>
        </w:tc>
        <w:tc>
          <w:tcPr>
            <w:tcW w:w="820" w:type="dxa"/>
            <w:noWrap w:val="0"/>
            <w:vAlign w:val="center"/>
          </w:tcPr>
          <w:p>
            <w:pPr>
              <w:widowControl/>
              <w:jc w:val="center"/>
              <w:rPr>
                <w:rFonts w:eastAsia="仿宋_GB2312"/>
                <w:kern w:val="0"/>
                <w:szCs w:val="21"/>
                <w:highlight w:val="none"/>
              </w:rPr>
            </w:pPr>
            <w:r>
              <w:rPr>
                <w:rFonts w:eastAsia="仿宋_GB2312"/>
                <w:kern w:val="0"/>
                <w:szCs w:val="21"/>
                <w:highlight w:val="none"/>
              </w:rPr>
              <w:t>风景名胜设施用地</w:t>
            </w:r>
          </w:p>
        </w:tc>
        <w:tc>
          <w:tcPr>
            <w:tcW w:w="1170" w:type="dxa"/>
            <w:noWrap w:val="0"/>
            <w:vAlign w:val="center"/>
          </w:tcPr>
          <w:p>
            <w:pPr>
              <w:widowControl/>
              <w:jc w:val="center"/>
              <w:rPr>
                <w:rFonts w:eastAsia="仿宋_GB2312"/>
                <w:kern w:val="0"/>
                <w:szCs w:val="21"/>
                <w:highlight w:val="none"/>
              </w:rPr>
            </w:pPr>
            <w:r>
              <w:rPr>
                <w:rFonts w:hint="eastAsia" w:eastAsia="仿宋_GB2312"/>
                <w:kern w:val="0"/>
                <w:szCs w:val="21"/>
                <w:highlight w:val="none"/>
              </w:rPr>
              <w:t>——</w:t>
            </w:r>
          </w:p>
        </w:tc>
        <w:tc>
          <w:tcPr>
            <w:tcW w:w="897" w:type="dxa"/>
            <w:vMerge w:val="continue"/>
            <w:noWrap w:val="0"/>
            <w:vAlign w:val="center"/>
          </w:tcPr>
          <w:p>
            <w:pPr>
              <w:widowControl/>
              <w:jc w:val="center"/>
              <w:rPr>
                <w:rFonts w:eastAsia="仿宋_GB2312"/>
                <w:b/>
                <w:bCs/>
                <w:kern w:val="0"/>
                <w:szCs w:val="21"/>
                <w:highlight w:val="none"/>
              </w:rPr>
            </w:pPr>
          </w:p>
        </w:tc>
        <w:tc>
          <w:tcPr>
            <w:tcW w:w="890" w:type="dxa"/>
            <w:noWrap w:val="0"/>
            <w:vAlign w:val="center"/>
          </w:tcPr>
          <w:p>
            <w:pPr>
              <w:widowControl/>
              <w:jc w:val="center"/>
              <w:rPr>
                <w:rFonts w:eastAsia="仿宋_GB2312"/>
                <w:b/>
                <w:kern w:val="0"/>
                <w:szCs w:val="21"/>
                <w:highlight w:val="none"/>
              </w:rPr>
            </w:pPr>
            <w:r>
              <w:rPr>
                <w:rFonts w:eastAsia="仿宋_GB2312"/>
                <w:b/>
                <w:kern w:val="0"/>
                <w:szCs w:val="21"/>
                <w:highlight w:val="none"/>
              </w:rPr>
              <w:t>0.8</w:t>
            </w:r>
          </w:p>
        </w:tc>
        <w:tc>
          <w:tcPr>
            <w:tcW w:w="4581" w:type="dxa"/>
            <w:noWrap w:val="0"/>
            <w:vAlign w:val="center"/>
          </w:tcPr>
          <w:p>
            <w:pPr>
              <w:widowControl/>
              <w:jc w:val="left"/>
              <w:rPr>
                <w:rFonts w:eastAsia="仿宋_GB2312"/>
                <w:kern w:val="0"/>
                <w:szCs w:val="21"/>
                <w:highlight w:val="none"/>
              </w:rPr>
            </w:pPr>
            <w:r>
              <w:rPr>
                <w:rFonts w:eastAsia="仿宋_GB2312"/>
                <w:kern w:val="0"/>
                <w:szCs w:val="21"/>
                <w:highlight w:val="none"/>
              </w:rPr>
              <w:t>指风景名胜景点（包括名胜古迹、旅游景点、革命遗址、自然保护区、森林公园、地质公园、湿地公园等）的管理机构，以及旅游服务设施的建筑用地。景区内的其他用地按现状归入相应地类。</w:t>
            </w:r>
          </w:p>
        </w:tc>
      </w:tr>
    </w:tbl>
    <w:p>
      <w:pPr>
        <w:autoSpaceDE w:val="0"/>
        <w:autoSpaceDN w:val="0"/>
        <w:adjustRightInd w:val="0"/>
        <w:snapToGrid w:val="0"/>
        <w:spacing w:before="48" w:beforeLines="20"/>
        <w:jc w:val="left"/>
        <w:rPr>
          <w:rFonts w:ascii="仿宋_GB2312" w:eastAsia="仿宋_GB2312"/>
          <w:kern w:val="0"/>
          <w:sz w:val="22"/>
          <w:szCs w:val="22"/>
          <w:highlight w:val="none"/>
        </w:rPr>
      </w:pPr>
      <w:r>
        <w:rPr>
          <w:rFonts w:ascii="仿宋_GB2312" w:eastAsia="仿宋_GB2312"/>
          <w:kern w:val="0"/>
          <w:sz w:val="22"/>
          <w:szCs w:val="22"/>
          <w:highlight w:val="none"/>
        </w:rPr>
        <w:t>备注：1</w:t>
      </w:r>
      <w:r>
        <w:rPr>
          <w:rFonts w:hint="eastAsia" w:ascii="仿宋_GB2312" w:eastAsia="仿宋_GB2312"/>
          <w:kern w:val="0"/>
          <w:sz w:val="22"/>
          <w:szCs w:val="22"/>
          <w:highlight w:val="none"/>
        </w:rPr>
        <w:t>.公示地价包括基准地价和标定地价。</w:t>
      </w:r>
    </w:p>
    <w:p>
      <w:pPr>
        <w:autoSpaceDE w:val="0"/>
        <w:autoSpaceDN w:val="0"/>
        <w:adjustRightInd w:val="0"/>
        <w:snapToGrid w:val="0"/>
        <w:spacing w:before="48" w:beforeLines="20"/>
        <w:ind w:firstLine="660" w:firstLineChars="300"/>
        <w:jc w:val="left"/>
        <w:rPr>
          <w:rFonts w:hint="eastAsia" w:ascii="仿宋_GB2312" w:eastAsia="仿宋_GB2312"/>
          <w:kern w:val="0"/>
          <w:sz w:val="22"/>
          <w:szCs w:val="22"/>
          <w:highlight w:val="none"/>
        </w:rPr>
      </w:pPr>
      <w:r>
        <w:rPr>
          <w:rFonts w:hint="eastAsia" w:ascii="仿宋_GB2312" w:eastAsia="仿宋_GB2312"/>
          <w:kern w:val="0"/>
          <w:sz w:val="22"/>
          <w:szCs w:val="22"/>
          <w:highlight w:val="none"/>
        </w:rPr>
        <w:t>2.在基准地价修正过程中，可按上述修正系数进行用地类型修正，</w:t>
      </w:r>
      <w:r>
        <w:rPr>
          <w:rFonts w:ascii="仿宋_GB2312" w:eastAsia="仿宋_GB2312"/>
          <w:kern w:val="0"/>
          <w:sz w:val="22"/>
          <w:szCs w:val="22"/>
          <w:highlight w:val="none"/>
        </w:rPr>
        <w:t>修正系数通过修正将商业、住宅、办公、酒店、工业、</w:t>
      </w:r>
      <w:r>
        <w:rPr>
          <w:rFonts w:hint="eastAsia" w:ascii="仿宋_GB2312" w:eastAsia="仿宋_GB2312"/>
          <w:kern w:val="0"/>
          <w:sz w:val="22"/>
          <w:szCs w:val="22"/>
          <w:highlight w:val="none"/>
        </w:rPr>
        <w:t>公共管理与公共服务用地和</w:t>
      </w:r>
      <w:r>
        <w:rPr>
          <w:rFonts w:ascii="仿宋_GB2312" w:eastAsia="仿宋_GB2312"/>
          <w:kern w:val="0"/>
          <w:sz w:val="22"/>
          <w:szCs w:val="22"/>
          <w:highlight w:val="none"/>
        </w:rPr>
        <w:t>公</w:t>
      </w:r>
      <w:r>
        <w:rPr>
          <w:rFonts w:hint="eastAsia" w:ascii="仿宋_GB2312" w:eastAsia="仿宋_GB2312"/>
          <w:kern w:val="0"/>
          <w:sz w:val="22"/>
          <w:szCs w:val="22"/>
          <w:highlight w:val="none"/>
        </w:rPr>
        <w:t>用</w:t>
      </w:r>
      <w:r>
        <w:rPr>
          <w:rFonts w:ascii="仿宋_GB2312" w:eastAsia="仿宋_GB2312"/>
          <w:kern w:val="0"/>
          <w:sz w:val="22"/>
          <w:szCs w:val="22"/>
          <w:highlight w:val="none"/>
        </w:rPr>
        <w:t>设施用地等一级类用地</w:t>
      </w:r>
      <w:r>
        <w:rPr>
          <w:rFonts w:hint="eastAsia" w:ascii="仿宋_GB2312" w:eastAsia="仿宋_GB2312"/>
          <w:kern w:val="0"/>
          <w:sz w:val="22"/>
          <w:szCs w:val="22"/>
          <w:highlight w:val="none"/>
          <w:lang w:val="en-US" w:eastAsia="zh-CN"/>
        </w:rPr>
        <w:t>细化</w:t>
      </w:r>
      <w:r>
        <w:rPr>
          <w:rFonts w:ascii="仿宋_GB2312" w:eastAsia="仿宋_GB2312"/>
          <w:kern w:val="0"/>
          <w:sz w:val="22"/>
          <w:szCs w:val="22"/>
          <w:highlight w:val="none"/>
        </w:rPr>
        <w:t>到土地利用现状分类的二级类</w:t>
      </w:r>
      <w:r>
        <w:rPr>
          <w:rFonts w:hint="eastAsia" w:ascii="仿宋_GB2312" w:eastAsia="仿宋_GB2312"/>
          <w:kern w:val="0"/>
          <w:sz w:val="22"/>
          <w:szCs w:val="22"/>
          <w:highlight w:val="none"/>
        </w:rPr>
        <w:t>用地类型的地价标准</w:t>
      </w:r>
      <w:r>
        <w:rPr>
          <w:rFonts w:ascii="仿宋_GB2312" w:eastAsia="仿宋_GB2312"/>
          <w:kern w:val="0"/>
          <w:sz w:val="22"/>
          <w:szCs w:val="22"/>
          <w:highlight w:val="none"/>
        </w:rPr>
        <w:t>，修正后为对应二级类用地类型的级别和区片基准地价参考标准</w:t>
      </w:r>
      <w:r>
        <w:rPr>
          <w:rFonts w:hint="eastAsia" w:ascii="仿宋_GB2312" w:eastAsia="仿宋_GB2312"/>
          <w:kern w:val="0"/>
          <w:sz w:val="22"/>
          <w:szCs w:val="22"/>
          <w:highlight w:val="none"/>
        </w:rPr>
        <w:t>。</w:t>
      </w:r>
    </w:p>
    <w:p>
      <w:pPr>
        <w:autoSpaceDE w:val="0"/>
        <w:autoSpaceDN w:val="0"/>
        <w:adjustRightInd w:val="0"/>
        <w:snapToGrid w:val="0"/>
        <w:spacing w:before="48" w:beforeLines="20"/>
        <w:ind w:firstLine="660" w:firstLineChars="300"/>
        <w:jc w:val="left"/>
        <w:rPr>
          <w:rFonts w:ascii="仿宋_GB2312" w:eastAsia="仿宋_GB2312"/>
          <w:kern w:val="0"/>
          <w:sz w:val="22"/>
          <w:szCs w:val="22"/>
          <w:highlight w:val="none"/>
        </w:rPr>
      </w:pPr>
      <w:r>
        <w:rPr>
          <w:rFonts w:hint="eastAsia" w:ascii="仿宋_GB2312" w:eastAsia="仿宋_GB2312"/>
          <w:kern w:val="0"/>
          <w:sz w:val="22"/>
          <w:szCs w:val="22"/>
          <w:highlight w:val="none"/>
        </w:rPr>
        <w:t>3.在标定地价修正过程中，可按上述修正系数进行用地类型修正。</w:t>
      </w:r>
    </w:p>
    <w:p>
      <w:pPr>
        <w:autoSpaceDE w:val="0"/>
        <w:autoSpaceDN w:val="0"/>
        <w:adjustRightInd w:val="0"/>
        <w:snapToGrid w:val="0"/>
        <w:spacing w:before="48" w:beforeLines="20"/>
        <w:ind w:firstLine="660" w:firstLineChars="300"/>
        <w:jc w:val="left"/>
        <w:rPr>
          <w:rFonts w:ascii="仿宋_GB2312" w:eastAsia="仿宋_GB2312"/>
          <w:kern w:val="0"/>
          <w:sz w:val="22"/>
          <w:szCs w:val="22"/>
          <w:highlight w:val="none"/>
        </w:rPr>
      </w:pPr>
      <w:r>
        <w:rPr>
          <w:rFonts w:hint="eastAsia" w:ascii="仿宋_GB2312" w:eastAsia="仿宋_GB2312"/>
          <w:kern w:val="0"/>
          <w:sz w:val="22"/>
          <w:szCs w:val="22"/>
          <w:highlight w:val="none"/>
        </w:rPr>
        <w:t>4.</w:t>
      </w:r>
      <w:r>
        <w:rPr>
          <w:rFonts w:ascii="仿宋_GB2312" w:eastAsia="仿宋_GB2312"/>
          <w:kern w:val="0"/>
          <w:sz w:val="22"/>
          <w:szCs w:val="22"/>
          <w:highlight w:val="none"/>
        </w:rPr>
        <w:t>具有多种用途的土地应按</w:t>
      </w:r>
      <w:r>
        <w:rPr>
          <w:rFonts w:hint="eastAsia" w:ascii="仿宋_GB2312" w:eastAsia="仿宋_GB2312"/>
          <w:kern w:val="0"/>
          <w:sz w:val="22"/>
          <w:szCs w:val="22"/>
          <w:highlight w:val="none"/>
        </w:rPr>
        <w:t>比例</w:t>
      </w:r>
      <w:r>
        <w:rPr>
          <w:rFonts w:ascii="仿宋_GB2312" w:eastAsia="仿宋_GB2312"/>
          <w:kern w:val="0"/>
          <w:sz w:val="22"/>
          <w:szCs w:val="22"/>
          <w:highlight w:val="none"/>
        </w:rPr>
        <w:t>进行分摊分别确定用地类型。</w:t>
      </w:r>
    </w:p>
    <w:p>
      <w:pPr>
        <w:autoSpaceDE w:val="0"/>
        <w:autoSpaceDN w:val="0"/>
        <w:adjustRightInd w:val="0"/>
        <w:snapToGrid w:val="0"/>
        <w:spacing w:before="48" w:beforeLines="20"/>
        <w:ind w:firstLine="660" w:firstLineChars="300"/>
        <w:jc w:val="left"/>
        <w:rPr>
          <w:rFonts w:hint="eastAsia" w:ascii="仿宋_GB2312" w:eastAsia="仿宋_GB2312"/>
          <w:kern w:val="0"/>
          <w:sz w:val="22"/>
          <w:szCs w:val="22"/>
          <w:highlight w:val="none"/>
        </w:rPr>
      </w:pPr>
      <w:r>
        <w:rPr>
          <w:rFonts w:hint="eastAsia" w:ascii="仿宋_GB2312" w:eastAsia="仿宋_GB2312"/>
          <w:kern w:val="0"/>
          <w:sz w:val="22"/>
          <w:szCs w:val="22"/>
          <w:highlight w:val="none"/>
        </w:rPr>
        <w:t>5.本表如无特别说明修正后为楼面单价或地面单价，原则上与适用公示地价类型的地价内涵一致。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YWRjZjJiZDljNDFhNTNkYWY2MjQwYWQ4YjBhMjUifQ=="/>
  </w:docVars>
  <w:rsids>
    <w:rsidRoot w:val="15DB29CF"/>
    <w:rsid w:val="15DB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after="93" w:afterLines="30" w:line="300" w:lineRule="auto"/>
      <w:ind w:firstLine="480" w:firstLineChars="200"/>
    </w:pPr>
    <w:rPr>
      <w:rFonts w:eastAsia="仿宋_GB2312"/>
      <w:kern w:val="28"/>
      <w:sz w:val="24"/>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2024-11-19T04:27:00Z</dcterms:created>
  <dc:creator>凯瑟绿</dc:creator>
  <cp:lastModifiedBy>凯瑟绿</cp:lastModifiedBy>
  <dcterms:modified xsi:type="dcterms:W3CDTF">2024-11-19T04:27:25Z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D22E51DA88DD458781228943634A8326_11</vt:lpwstr>
  </property>
</Properties>
</file>