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20" w:beforeLines="50" w:after="60" w:afterLines="25" w:line="360" w:lineRule="auto"/>
        <w:outlineLvl w:val="1"/>
        <w:rPr>
          <w:highlight w:val="none"/>
        </w:rPr>
      </w:pPr>
      <w:bookmarkStart w:id="0" w:name="_GoBack"/>
      <w:r>
        <w:rPr>
          <w:rFonts w:hint="eastAsia" w:eastAsia="黑体"/>
          <w:spacing w:val="-4"/>
          <w:sz w:val="30"/>
          <w:szCs w:val="30"/>
          <w:highlight w:val="none"/>
        </w:rPr>
        <w:t>附件2：</w:t>
      </w:r>
    </w:p>
    <w:p>
      <w:pPr>
        <w:autoSpaceDE w:val="0"/>
        <w:autoSpaceDN w:val="0"/>
        <w:adjustRightInd w:val="0"/>
        <w:snapToGrid w:val="0"/>
        <w:spacing w:before="72" w:after="72"/>
        <w:ind w:firstLine="562"/>
        <w:jc w:val="center"/>
        <w:rPr>
          <w:rFonts w:hint="eastAsia" w:ascii="仿宋_GB2312" w:eastAsia="仿宋_GB2312"/>
          <w:b/>
          <w:kern w:val="0"/>
          <w:sz w:val="28"/>
          <w:szCs w:val="28"/>
          <w:highlight w:val="none"/>
        </w:rPr>
      </w:pPr>
      <w:r>
        <w:rPr>
          <w:rFonts w:hint="eastAsia" w:ascii="仿宋_GB2312" w:eastAsia="仿宋_GB2312"/>
          <w:b/>
          <w:kern w:val="0"/>
          <w:sz w:val="28"/>
          <w:szCs w:val="28"/>
          <w:highlight w:val="none"/>
        </w:rPr>
        <w:t>商业用地地上建筑物楼层修正系数表</w:t>
      </w:r>
    </w:p>
    <w:bookmarkEnd w:id="0"/>
    <w:tbl>
      <w:tblPr>
        <w:tblStyle w:val="5"/>
        <w:tblW w:w="0" w:type="auto"/>
        <w:jc w:val="center"/>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25"/>
        <w:gridCol w:w="1133"/>
        <w:gridCol w:w="1258"/>
        <w:gridCol w:w="1258"/>
        <w:gridCol w:w="1258"/>
        <w:gridCol w:w="1258"/>
        <w:gridCol w:w="1256"/>
      </w:tblGrid>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5" w:type="dxa"/>
            <w:tcBorders>
              <w:tl2br w:val="single" w:color="auto" w:sz="4" w:space="0"/>
            </w:tcBorders>
            <w:noWrap w:val="0"/>
            <w:vAlign w:val="center"/>
          </w:tcPr>
          <w:p>
            <w:pPr>
              <w:autoSpaceDE w:val="0"/>
              <w:autoSpaceDN w:val="0"/>
              <w:adjustRightInd w:val="0"/>
              <w:snapToGrid w:val="0"/>
              <w:spacing w:before="72" w:after="72"/>
              <w:jc w:val="center"/>
              <w:rPr>
                <w:rFonts w:eastAsia="仿宋_GB2312"/>
                <w:sz w:val="24"/>
                <w:highlight w:val="none"/>
              </w:rPr>
            </w:pPr>
            <w:r>
              <w:rPr>
                <w:rFonts w:eastAsia="仿宋_GB2312"/>
                <w:sz w:val="24"/>
                <w:highlight w:val="none"/>
              </w:rPr>
              <w:t xml:space="preserve">    总楼层</w:t>
            </w:r>
          </w:p>
          <w:p>
            <w:pPr>
              <w:pStyle w:val="4"/>
              <w:ind w:firstLine="0" w:firstLineChars="0"/>
              <w:rPr>
                <w:highlight w:val="none"/>
              </w:rPr>
            </w:pPr>
            <w:r>
              <w:rPr>
                <w:rFonts w:eastAsia="仿宋_GB2312"/>
                <w:sz w:val="24"/>
                <w:highlight w:val="none"/>
              </w:rPr>
              <w:t>所在楼层</w:t>
            </w:r>
          </w:p>
        </w:tc>
        <w:tc>
          <w:tcPr>
            <w:tcW w:w="1133" w:type="dxa"/>
            <w:noWrap w:val="0"/>
            <w:vAlign w:val="center"/>
          </w:tcPr>
          <w:p>
            <w:pPr>
              <w:autoSpaceDE w:val="0"/>
              <w:autoSpaceDN w:val="0"/>
              <w:adjustRightInd w:val="0"/>
              <w:snapToGrid w:val="0"/>
              <w:spacing w:before="72" w:after="72"/>
              <w:jc w:val="center"/>
              <w:rPr>
                <w:rFonts w:eastAsia="仿宋_GB2312"/>
                <w:sz w:val="24"/>
                <w:highlight w:val="none"/>
              </w:rPr>
            </w:pPr>
            <w:r>
              <w:rPr>
                <w:rFonts w:eastAsia="仿宋_GB2312"/>
                <w:sz w:val="24"/>
                <w:highlight w:val="none"/>
              </w:rPr>
              <w:t>1</w:t>
            </w:r>
          </w:p>
        </w:tc>
        <w:tc>
          <w:tcPr>
            <w:tcW w:w="1258" w:type="dxa"/>
            <w:noWrap w:val="0"/>
            <w:vAlign w:val="center"/>
          </w:tcPr>
          <w:p>
            <w:pPr>
              <w:autoSpaceDE w:val="0"/>
              <w:autoSpaceDN w:val="0"/>
              <w:adjustRightInd w:val="0"/>
              <w:snapToGrid w:val="0"/>
              <w:spacing w:before="72" w:after="72"/>
              <w:jc w:val="center"/>
              <w:rPr>
                <w:rFonts w:eastAsia="仿宋_GB2312"/>
                <w:sz w:val="24"/>
                <w:highlight w:val="none"/>
              </w:rPr>
            </w:pPr>
            <w:r>
              <w:rPr>
                <w:rFonts w:eastAsia="仿宋_GB2312"/>
                <w:sz w:val="24"/>
                <w:highlight w:val="none"/>
              </w:rPr>
              <w:t>2</w:t>
            </w:r>
          </w:p>
        </w:tc>
        <w:tc>
          <w:tcPr>
            <w:tcW w:w="1258" w:type="dxa"/>
            <w:noWrap w:val="0"/>
            <w:vAlign w:val="center"/>
          </w:tcPr>
          <w:p>
            <w:pPr>
              <w:autoSpaceDE w:val="0"/>
              <w:autoSpaceDN w:val="0"/>
              <w:adjustRightInd w:val="0"/>
              <w:snapToGrid w:val="0"/>
              <w:spacing w:before="72" w:after="72"/>
              <w:jc w:val="center"/>
              <w:rPr>
                <w:rFonts w:eastAsia="仿宋_GB2312"/>
                <w:sz w:val="24"/>
                <w:highlight w:val="none"/>
              </w:rPr>
            </w:pPr>
            <w:r>
              <w:rPr>
                <w:rFonts w:eastAsia="仿宋_GB2312"/>
                <w:sz w:val="24"/>
                <w:highlight w:val="none"/>
              </w:rPr>
              <w:t>3</w:t>
            </w:r>
          </w:p>
        </w:tc>
        <w:tc>
          <w:tcPr>
            <w:tcW w:w="1258" w:type="dxa"/>
            <w:noWrap w:val="0"/>
            <w:vAlign w:val="center"/>
          </w:tcPr>
          <w:p>
            <w:pPr>
              <w:autoSpaceDE w:val="0"/>
              <w:autoSpaceDN w:val="0"/>
              <w:adjustRightInd w:val="0"/>
              <w:snapToGrid w:val="0"/>
              <w:spacing w:before="72" w:after="72"/>
              <w:jc w:val="center"/>
              <w:rPr>
                <w:rFonts w:eastAsia="仿宋_GB2312"/>
                <w:sz w:val="24"/>
                <w:highlight w:val="none"/>
              </w:rPr>
            </w:pPr>
            <w:r>
              <w:rPr>
                <w:rFonts w:eastAsia="仿宋_GB2312"/>
                <w:sz w:val="24"/>
                <w:highlight w:val="none"/>
              </w:rPr>
              <w:t>4</w:t>
            </w:r>
          </w:p>
        </w:tc>
        <w:tc>
          <w:tcPr>
            <w:tcW w:w="1258" w:type="dxa"/>
            <w:noWrap w:val="0"/>
            <w:vAlign w:val="center"/>
          </w:tcPr>
          <w:p>
            <w:pPr>
              <w:autoSpaceDE w:val="0"/>
              <w:autoSpaceDN w:val="0"/>
              <w:adjustRightInd w:val="0"/>
              <w:snapToGrid w:val="0"/>
              <w:spacing w:before="72" w:after="72"/>
              <w:jc w:val="center"/>
              <w:rPr>
                <w:rFonts w:eastAsia="仿宋_GB2312"/>
                <w:sz w:val="24"/>
                <w:highlight w:val="none"/>
              </w:rPr>
            </w:pPr>
            <w:r>
              <w:rPr>
                <w:rFonts w:hint="eastAsia" w:eastAsia="仿宋_GB2312"/>
                <w:sz w:val="24"/>
                <w:highlight w:val="none"/>
              </w:rPr>
              <w:t>5</w:t>
            </w:r>
          </w:p>
        </w:tc>
        <w:tc>
          <w:tcPr>
            <w:tcW w:w="1256" w:type="dxa"/>
            <w:noWrap w:val="0"/>
            <w:vAlign w:val="center"/>
          </w:tcPr>
          <w:p>
            <w:pPr>
              <w:autoSpaceDE w:val="0"/>
              <w:autoSpaceDN w:val="0"/>
              <w:adjustRightInd w:val="0"/>
              <w:snapToGrid w:val="0"/>
              <w:spacing w:before="72" w:after="72"/>
              <w:jc w:val="center"/>
              <w:rPr>
                <w:rFonts w:eastAsia="仿宋_GB2312"/>
                <w:sz w:val="24"/>
                <w:highlight w:val="none"/>
              </w:rPr>
            </w:pPr>
            <w:r>
              <w:rPr>
                <w:rFonts w:hint="eastAsia" w:eastAsia="仿宋_GB2312"/>
                <w:sz w:val="24"/>
                <w:highlight w:val="none"/>
              </w:rPr>
              <w:t>6</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5" w:type="dxa"/>
            <w:noWrap w:val="0"/>
            <w:vAlign w:val="center"/>
          </w:tcPr>
          <w:p>
            <w:pPr>
              <w:autoSpaceDE w:val="0"/>
              <w:autoSpaceDN w:val="0"/>
              <w:adjustRightInd w:val="0"/>
              <w:snapToGrid w:val="0"/>
              <w:spacing w:before="72" w:after="72"/>
              <w:jc w:val="center"/>
              <w:rPr>
                <w:rFonts w:eastAsia="仿宋_GB2312"/>
                <w:sz w:val="24"/>
                <w:highlight w:val="none"/>
              </w:rPr>
            </w:pPr>
            <w:r>
              <w:rPr>
                <w:rFonts w:eastAsia="仿宋_GB2312"/>
                <w:sz w:val="24"/>
                <w:highlight w:val="none"/>
              </w:rPr>
              <w:t>1</w:t>
            </w:r>
          </w:p>
        </w:tc>
        <w:tc>
          <w:tcPr>
            <w:tcW w:w="1133" w:type="dxa"/>
            <w:noWrap w:val="0"/>
            <w:vAlign w:val="center"/>
          </w:tcPr>
          <w:p>
            <w:pPr>
              <w:autoSpaceDE w:val="0"/>
              <w:autoSpaceDN w:val="0"/>
              <w:adjustRightInd w:val="0"/>
              <w:snapToGrid w:val="0"/>
              <w:spacing w:before="72" w:after="72"/>
              <w:jc w:val="center"/>
              <w:rPr>
                <w:rFonts w:eastAsia="仿宋_GB2312"/>
                <w:b/>
                <w:sz w:val="24"/>
                <w:highlight w:val="none"/>
              </w:rPr>
            </w:pPr>
            <w:r>
              <w:rPr>
                <w:rFonts w:eastAsia="仿宋_GB2312"/>
                <w:b/>
                <w:sz w:val="24"/>
                <w:highlight w:val="none"/>
              </w:rPr>
              <w:t>1.0</w:t>
            </w:r>
          </w:p>
        </w:tc>
        <w:tc>
          <w:tcPr>
            <w:tcW w:w="1258" w:type="dxa"/>
            <w:noWrap w:val="0"/>
            <w:vAlign w:val="center"/>
          </w:tcPr>
          <w:p>
            <w:pPr>
              <w:autoSpaceDE w:val="0"/>
              <w:autoSpaceDN w:val="0"/>
              <w:adjustRightInd w:val="0"/>
              <w:snapToGrid w:val="0"/>
              <w:spacing w:before="72" w:after="72"/>
              <w:jc w:val="center"/>
              <w:rPr>
                <w:rFonts w:eastAsia="仿宋_GB2312"/>
                <w:b/>
                <w:sz w:val="24"/>
                <w:highlight w:val="none"/>
              </w:rPr>
            </w:pPr>
            <w:r>
              <w:rPr>
                <w:rFonts w:eastAsia="仿宋_GB2312"/>
                <w:b/>
                <w:sz w:val="24"/>
                <w:highlight w:val="none"/>
              </w:rPr>
              <w:t>1.25</w:t>
            </w:r>
          </w:p>
        </w:tc>
        <w:tc>
          <w:tcPr>
            <w:tcW w:w="1258" w:type="dxa"/>
            <w:noWrap w:val="0"/>
            <w:vAlign w:val="center"/>
          </w:tcPr>
          <w:p>
            <w:pPr>
              <w:autoSpaceDE w:val="0"/>
              <w:autoSpaceDN w:val="0"/>
              <w:adjustRightInd w:val="0"/>
              <w:snapToGrid w:val="0"/>
              <w:spacing w:before="72" w:after="72"/>
              <w:jc w:val="center"/>
              <w:rPr>
                <w:rFonts w:eastAsia="仿宋_GB2312"/>
                <w:b/>
                <w:sz w:val="24"/>
                <w:highlight w:val="none"/>
              </w:rPr>
            </w:pPr>
            <w:r>
              <w:rPr>
                <w:rFonts w:eastAsia="仿宋_GB2312"/>
                <w:b/>
                <w:sz w:val="24"/>
                <w:highlight w:val="none"/>
              </w:rPr>
              <w:t>1.463</w:t>
            </w:r>
          </w:p>
        </w:tc>
        <w:tc>
          <w:tcPr>
            <w:tcW w:w="1258" w:type="dxa"/>
            <w:noWrap w:val="0"/>
            <w:vAlign w:val="center"/>
          </w:tcPr>
          <w:p>
            <w:pPr>
              <w:autoSpaceDE w:val="0"/>
              <w:autoSpaceDN w:val="0"/>
              <w:adjustRightInd w:val="0"/>
              <w:snapToGrid w:val="0"/>
              <w:spacing w:before="72" w:after="72"/>
              <w:jc w:val="center"/>
              <w:rPr>
                <w:rFonts w:eastAsia="仿宋_GB2312"/>
                <w:b/>
                <w:sz w:val="24"/>
                <w:highlight w:val="none"/>
              </w:rPr>
            </w:pPr>
            <w:r>
              <w:rPr>
                <w:rFonts w:eastAsia="仿宋_GB2312"/>
                <w:b/>
                <w:sz w:val="24"/>
                <w:highlight w:val="none"/>
              </w:rPr>
              <w:t>1.667</w:t>
            </w:r>
          </w:p>
        </w:tc>
        <w:tc>
          <w:tcPr>
            <w:tcW w:w="1258" w:type="dxa"/>
            <w:noWrap w:val="0"/>
            <w:vAlign w:val="center"/>
          </w:tcPr>
          <w:p>
            <w:pPr>
              <w:autoSpaceDE w:val="0"/>
              <w:autoSpaceDN w:val="0"/>
              <w:adjustRightInd w:val="0"/>
              <w:snapToGrid w:val="0"/>
              <w:spacing w:before="72" w:after="72"/>
              <w:jc w:val="center"/>
              <w:rPr>
                <w:rFonts w:eastAsia="仿宋_GB2312"/>
                <w:b/>
                <w:sz w:val="24"/>
                <w:highlight w:val="none"/>
              </w:rPr>
            </w:pPr>
            <w:r>
              <w:rPr>
                <w:rFonts w:hint="eastAsia" w:eastAsia="仿宋_GB2312"/>
                <w:b/>
                <w:sz w:val="24"/>
                <w:highlight w:val="none"/>
              </w:rPr>
              <w:t>1</w:t>
            </w:r>
            <w:r>
              <w:rPr>
                <w:rFonts w:eastAsia="仿宋_GB2312"/>
                <w:b/>
                <w:sz w:val="24"/>
                <w:highlight w:val="none"/>
              </w:rPr>
              <w:t>.838</w:t>
            </w:r>
          </w:p>
        </w:tc>
        <w:tc>
          <w:tcPr>
            <w:tcW w:w="1256" w:type="dxa"/>
            <w:noWrap w:val="0"/>
            <w:vAlign w:val="center"/>
          </w:tcPr>
          <w:p>
            <w:pPr>
              <w:autoSpaceDE w:val="0"/>
              <w:autoSpaceDN w:val="0"/>
              <w:adjustRightInd w:val="0"/>
              <w:snapToGrid w:val="0"/>
              <w:spacing w:before="72" w:after="72"/>
              <w:jc w:val="center"/>
              <w:rPr>
                <w:rFonts w:eastAsia="仿宋_GB2312"/>
                <w:b/>
                <w:sz w:val="24"/>
                <w:highlight w:val="none"/>
              </w:rPr>
            </w:pPr>
            <w:r>
              <w:rPr>
                <w:rFonts w:hint="eastAsia" w:eastAsia="仿宋_GB2312"/>
                <w:b/>
                <w:sz w:val="24"/>
                <w:highlight w:val="none"/>
              </w:rPr>
              <w:t>1.987</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5" w:type="dxa"/>
            <w:noWrap w:val="0"/>
            <w:vAlign w:val="center"/>
          </w:tcPr>
          <w:p>
            <w:pPr>
              <w:autoSpaceDE w:val="0"/>
              <w:autoSpaceDN w:val="0"/>
              <w:adjustRightInd w:val="0"/>
              <w:snapToGrid w:val="0"/>
              <w:spacing w:before="72" w:after="72"/>
              <w:jc w:val="center"/>
              <w:rPr>
                <w:rFonts w:eastAsia="仿宋_GB2312"/>
                <w:sz w:val="24"/>
                <w:highlight w:val="none"/>
              </w:rPr>
            </w:pPr>
            <w:r>
              <w:rPr>
                <w:rFonts w:eastAsia="仿宋_GB2312"/>
                <w:sz w:val="24"/>
                <w:highlight w:val="none"/>
              </w:rPr>
              <w:t>2</w:t>
            </w:r>
          </w:p>
        </w:tc>
        <w:tc>
          <w:tcPr>
            <w:tcW w:w="1133" w:type="dxa"/>
            <w:noWrap w:val="0"/>
            <w:vAlign w:val="center"/>
          </w:tcPr>
          <w:p>
            <w:pPr>
              <w:autoSpaceDE w:val="0"/>
              <w:autoSpaceDN w:val="0"/>
              <w:adjustRightInd w:val="0"/>
              <w:snapToGrid w:val="0"/>
              <w:spacing w:before="72" w:after="72"/>
              <w:jc w:val="center"/>
              <w:rPr>
                <w:rFonts w:eastAsia="仿宋_GB2312"/>
                <w:b/>
                <w:sz w:val="24"/>
                <w:highlight w:val="none"/>
              </w:rPr>
            </w:pPr>
          </w:p>
        </w:tc>
        <w:tc>
          <w:tcPr>
            <w:tcW w:w="1258" w:type="dxa"/>
            <w:noWrap w:val="0"/>
            <w:vAlign w:val="center"/>
          </w:tcPr>
          <w:p>
            <w:pPr>
              <w:autoSpaceDE w:val="0"/>
              <w:autoSpaceDN w:val="0"/>
              <w:adjustRightInd w:val="0"/>
              <w:snapToGrid w:val="0"/>
              <w:spacing w:before="72" w:after="72"/>
              <w:jc w:val="center"/>
              <w:rPr>
                <w:rFonts w:eastAsia="仿宋_GB2312"/>
                <w:b/>
                <w:sz w:val="24"/>
                <w:highlight w:val="none"/>
              </w:rPr>
            </w:pPr>
            <w:r>
              <w:rPr>
                <w:rFonts w:eastAsia="仿宋_GB2312"/>
                <w:b/>
                <w:sz w:val="24"/>
                <w:highlight w:val="none"/>
              </w:rPr>
              <w:t>0.75</w:t>
            </w:r>
          </w:p>
        </w:tc>
        <w:tc>
          <w:tcPr>
            <w:tcW w:w="1258" w:type="dxa"/>
            <w:noWrap w:val="0"/>
            <w:vAlign w:val="center"/>
          </w:tcPr>
          <w:p>
            <w:pPr>
              <w:autoSpaceDE w:val="0"/>
              <w:autoSpaceDN w:val="0"/>
              <w:adjustRightInd w:val="0"/>
              <w:snapToGrid w:val="0"/>
              <w:spacing w:before="72" w:after="72"/>
              <w:jc w:val="center"/>
              <w:rPr>
                <w:rFonts w:eastAsia="仿宋_GB2312"/>
                <w:b/>
                <w:sz w:val="24"/>
                <w:highlight w:val="none"/>
              </w:rPr>
            </w:pPr>
            <w:r>
              <w:rPr>
                <w:rFonts w:eastAsia="仿宋_GB2312"/>
                <w:b/>
                <w:sz w:val="24"/>
                <w:highlight w:val="none"/>
              </w:rPr>
              <w:t>0.878</w:t>
            </w:r>
          </w:p>
        </w:tc>
        <w:tc>
          <w:tcPr>
            <w:tcW w:w="1258" w:type="dxa"/>
            <w:noWrap w:val="0"/>
            <w:vAlign w:val="center"/>
          </w:tcPr>
          <w:p>
            <w:pPr>
              <w:autoSpaceDE w:val="0"/>
              <w:autoSpaceDN w:val="0"/>
              <w:adjustRightInd w:val="0"/>
              <w:snapToGrid w:val="0"/>
              <w:spacing w:before="72" w:after="72"/>
              <w:jc w:val="center"/>
              <w:rPr>
                <w:rFonts w:eastAsia="仿宋_GB2312"/>
                <w:b/>
                <w:sz w:val="24"/>
                <w:highlight w:val="none"/>
              </w:rPr>
            </w:pPr>
            <w:r>
              <w:rPr>
                <w:rFonts w:eastAsia="仿宋_GB2312"/>
                <w:b/>
                <w:sz w:val="24"/>
                <w:highlight w:val="none"/>
              </w:rPr>
              <w:t>1.000</w:t>
            </w:r>
          </w:p>
        </w:tc>
        <w:tc>
          <w:tcPr>
            <w:tcW w:w="1258" w:type="dxa"/>
            <w:noWrap w:val="0"/>
            <w:vAlign w:val="center"/>
          </w:tcPr>
          <w:p>
            <w:pPr>
              <w:autoSpaceDE w:val="0"/>
              <w:autoSpaceDN w:val="0"/>
              <w:adjustRightInd w:val="0"/>
              <w:snapToGrid w:val="0"/>
              <w:spacing w:before="72" w:after="72"/>
              <w:jc w:val="center"/>
              <w:rPr>
                <w:rFonts w:eastAsia="仿宋_GB2312"/>
                <w:b/>
                <w:sz w:val="24"/>
                <w:highlight w:val="none"/>
              </w:rPr>
            </w:pPr>
            <w:r>
              <w:rPr>
                <w:rFonts w:hint="eastAsia" w:eastAsia="仿宋_GB2312"/>
                <w:b/>
                <w:sz w:val="24"/>
                <w:highlight w:val="none"/>
              </w:rPr>
              <w:t>1</w:t>
            </w:r>
            <w:r>
              <w:rPr>
                <w:rFonts w:eastAsia="仿宋_GB2312"/>
                <w:b/>
                <w:sz w:val="24"/>
                <w:highlight w:val="none"/>
              </w:rPr>
              <w:t>.103</w:t>
            </w:r>
          </w:p>
        </w:tc>
        <w:tc>
          <w:tcPr>
            <w:tcW w:w="1256" w:type="dxa"/>
            <w:noWrap w:val="0"/>
            <w:vAlign w:val="center"/>
          </w:tcPr>
          <w:p>
            <w:pPr>
              <w:autoSpaceDE w:val="0"/>
              <w:autoSpaceDN w:val="0"/>
              <w:adjustRightInd w:val="0"/>
              <w:snapToGrid w:val="0"/>
              <w:spacing w:before="72" w:after="72"/>
              <w:jc w:val="center"/>
              <w:rPr>
                <w:rFonts w:eastAsia="仿宋_GB2312"/>
                <w:b/>
                <w:sz w:val="24"/>
                <w:highlight w:val="none"/>
              </w:rPr>
            </w:pPr>
            <w:r>
              <w:rPr>
                <w:rFonts w:hint="eastAsia" w:eastAsia="仿宋_GB2312"/>
                <w:b/>
                <w:sz w:val="24"/>
                <w:highlight w:val="none"/>
              </w:rPr>
              <w:t>1.192</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5" w:type="dxa"/>
            <w:noWrap w:val="0"/>
            <w:vAlign w:val="center"/>
          </w:tcPr>
          <w:p>
            <w:pPr>
              <w:autoSpaceDE w:val="0"/>
              <w:autoSpaceDN w:val="0"/>
              <w:adjustRightInd w:val="0"/>
              <w:snapToGrid w:val="0"/>
              <w:spacing w:before="72" w:after="72"/>
              <w:jc w:val="center"/>
              <w:rPr>
                <w:rFonts w:eastAsia="仿宋_GB2312"/>
                <w:sz w:val="24"/>
                <w:highlight w:val="none"/>
              </w:rPr>
            </w:pPr>
            <w:r>
              <w:rPr>
                <w:rFonts w:eastAsia="仿宋_GB2312"/>
                <w:sz w:val="24"/>
                <w:highlight w:val="none"/>
              </w:rPr>
              <w:t>3</w:t>
            </w:r>
          </w:p>
        </w:tc>
        <w:tc>
          <w:tcPr>
            <w:tcW w:w="1133" w:type="dxa"/>
            <w:noWrap w:val="0"/>
            <w:vAlign w:val="center"/>
          </w:tcPr>
          <w:p>
            <w:pPr>
              <w:autoSpaceDE w:val="0"/>
              <w:autoSpaceDN w:val="0"/>
              <w:adjustRightInd w:val="0"/>
              <w:snapToGrid w:val="0"/>
              <w:spacing w:before="72" w:after="72"/>
              <w:jc w:val="center"/>
              <w:rPr>
                <w:rFonts w:eastAsia="仿宋_GB2312"/>
                <w:b/>
                <w:sz w:val="24"/>
                <w:highlight w:val="none"/>
              </w:rPr>
            </w:pPr>
          </w:p>
        </w:tc>
        <w:tc>
          <w:tcPr>
            <w:tcW w:w="1258" w:type="dxa"/>
            <w:noWrap w:val="0"/>
            <w:vAlign w:val="center"/>
          </w:tcPr>
          <w:p>
            <w:pPr>
              <w:autoSpaceDE w:val="0"/>
              <w:autoSpaceDN w:val="0"/>
              <w:adjustRightInd w:val="0"/>
              <w:snapToGrid w:val="0"/>
              <w:spacing w:before="72" w:after="72"/>
              <w:jc w:val="center"/>
              <w:rPr>
                <w:rFonts w:eastAsia="仿宋_GB2312"/>
                <w:b/>
                <w:sz w:val="24"/>
                <w:highlight w:val="none"/>
              </w:rPr>
            </w:pPr>
          </w:p>
        </w:tc>
        <w:tc>
          <w:tcPr>
            <w:tcW w:w="1258" w:type="dxa"/>
            <w:noWrap w:val="0"/>
            <w:vAlign w:val="center"/>
          </w:tcPr>
          <w:p>
            <w:pPr>
              <w:autoSpaceDE w:val="0"/>
              <w:autoSpaceDN w:val="0"/>
              <w:adjustRightInd w:val="0"/>
              <w:snapToGrid w:val="0"/>
              <w:spacing w:before="72" w:after="72"/>
              <w:jc w:val="center"/>
              <w:rPr>
                <w:rFonts w:eastAsia="仿宋_GB2312"/>
                <w:b/>
                <w:sz w:val="24"/>
                <w:highlight w:val="none"/>
              </w:rPr>
            </w:pPr>
            <w:r>
              <w:rPr>
                <w:rFonts w:eastAsia="仿宋_GB2312"/>
                <w:b/>
                <w:sz w:val="24"/>
                <w:highlight w:val="none"/>
              </w:rPr>
              <w:t>0.659</w:t>
            </w:r>
          </w:p>
        </w:tc>
        <w:tc>
          <w:tcPr>
            <w:tcW w:w="1258" w:type="dxa"/>
            <w:noWrap w:val="0"/>
            <w:vAlign w:val="center"/>
          </w:tcPr>
          <w:p>
            <w:pPr>
              <w:autoSpaceDE w:val="0"/>
              <w:autoSpaceDN w:val="0"/>
              <w:adjustRightInd w:val="0"/>
              <w:snapToGrid w:val="0"/>
              <w:spacing w:before="72" w:after="72"/>
              <w:jc w:val="center"/>
              <w:rPr>
                <w:rFonts w:eastAsia="仿宋_GB2312"/>
                <w:b/>
                <w:sz w:val="24"/>
                <w:highlight w:val="none"/>
              </w:rPr>
            </w:pPr>
            <w:r>
              <w:rPr>
                <w:rFonts w:eastAsia="仿宋_GB2312"/>
                <w:b/>
                <w:sz w:val="24"/>
                <w:highlight w:val="none"/>
              </w:rPr>
              <w:t>0.750</w:t>
            </w:r>
          </w:p>
        </w:tc>
        <w:tc>
          <w:tcPr>
            <w:tcW w:w="1258" w:type="dxa"/>
            <w:noWrap w:val="0"/>
            <w:vAlign w:val="center"/>
          </w:tcPr>
          <w:p>
            <w:pPr>
              <w:autoSpaceDE w:val="0"/>
              <w:autoSpaceDN w:val="0"/>
              <w:adjustRightInd w:val="0"/>
              <w:snapToGrid w:val="0"/>
              <w:spacing w:before="72" w:after="72"/>
              <w:jc w:val="center"/>
              <w:rPr>
                <w:rFonts w:eastAsia="仿宋_GB2312"/>
                <w:b/>
                <w:sz w:val="24"/>
                <w:highlight w:val="none"/>
              </w:rPr>
            </w:pPr>
            <w:r>
              <w:rPr>
                <w:rFonts w:hint="eastAsia" w:eastAsia="仿宋_GB2312"/>
                <w:b/>
                <w:sz w:val="24"/>
                <w:highlight w:val="none"/>
              </w:rPr>
              <w:t>0</w:t>
            </w:r>
            <w:r>
              <w:rPr>
                <w:rFonts w:eastAsia="仿宋_GB2312"/>
                <w:b/>
                <w:sz w:val="24"/>
                <w:highlight w:val="none"/>
              </w:rPr>
              <w:t>.827</w:t>
            </w:r>
          </w:p>
        </w:tc>
        <w:tc>
          <w:tcPr>
            <w:tcW w:w="1256" w:type="dxa"/>
            <w:noWrap w:val="0"/>
            <w:vAlign w:val="center"/>
          </w:tcPr>
          <w:p>
            <w:pPr>
              <w:autoSpaceDE w:val="0"/>
              <w:autoSpaceDN w:val="0"/>
              <w:adjustRightInd w:val="0"/>
              <w:snapToGrid w:val="0"/>
              <w:spacing w:before="72" w:after="72"/>
              <w:jc w:val="center"/>
              <w:rPr>
                <w:rFonts w:eastAsia="仿宋_GB2312"/>
                <w:b/>
                <w:sz w:val="24"/>
                <w:highlight w:val="none"/>
              </w:rPr>
            </w:pPr>
            <w:r>
              <w:rPr>
                <w:rFonts w:hint="eastAsia" w:eastAsia="仿宋_GB2312"/>
                <w:b/>
                <w:sz w:val="24"/>
                <w:highlight w:val="none"/>
              </w:rPr>
              <w:t>0.894</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5" w:type="dxa"/>
            <w:noWrap w:val="0"/>
            <w:vAlign w:val="center"/>
          </w:tcPr>
          <w:p>
            <w:pPr>
              <w:autoSpaceDE w:val="0"/>
              <w:autoSpaceDN w:val="0"/>
              <w:adjustRightInd w:val="0"/>
              <w:snapToGrid w:val="0"/>
              <w:spacing w:before="72" w:after="72"/>
              <w:jc w:val="center"/>
              <w:rPr>
                <w:rFonts w:eastAsia="仿宋_GB2312"/>
                <w:sz w:val="24"/>
                <w:highlight w:val="none"/>
              </w:rPr>
            </w:pPr>
            <w:r>
              <w:rPr>
                <w:rFonts w:eastAsia="仿宋_GB2312"/>
                <w:sz w:val="24"/>
                <w:highlight w:val="none"/>
              </w:rPr>
              <w:t>4</w:t>
            </w:r>
          </w:p>
        </w:tc>
        <w:tc>
          <w:tcPr>
            <w:tcW w:w="1133" w:type="dxa"/>
            <w:noWrap w:val="0"/>
            <w:vAlign w:val="center"/>
          </w:tcPr>
          <w:p>
            <w:pPr>
              <w:autoSpaceDE w:val="0"/>
              <w:autoSpaceDN w:val="0"/>
              <w:adjustRightInd w:val="0"/>
              <w:snapToGrid w:val="0"/>
              <w:spacing w:before="72" w:after="72"/>
              <w:jc w:val="center"/>
              <w:rPr>
                <w:rFonts w:eastAsia="仿宋_GB2312"/>
                <w:b/>
                <w:sz w:val="24"/>
                <w:highlight w:val="none"/>
              </w:rPr>
            </w:pPr>
          </w:p>
        </w:tc>
        <w:tc>
          <w:tcPr>
            <w:tcW w:w="1258" w:type="dxa"/>
            <w:noWrap w:val="0"/>
            <w:vAlign w:val="center"/>
          </w:tcPr>
          <w:p>
            <w:pPr>
              <w:autoSpaceDE w:val="0"/>
              <w:autoSpaceDN w:val="0"/>
              <w:adjustRightInd w:val="0"/>
              <w:snapToGrid w:val="0"/>
              <w:spacing w:before="72" w:after="72"/>
              <w:jc w:val="center"/>
              <w:rPr>
                <w:rFonts w:eastAsia="仿宋_GB2312"/>
                <w:b/>
                <w:sz w:val="24"/>
                <w:highlight w:val="none"/>
              </w:rPr>
            </w:pPr>
          </w:p>
        </w:tc>
        <w:tc>
          <w:tcPr>
            <w:tcW w:w="1258" w:type="dxa"/>
            <w:noWrap w:val="0"/>
            <w:vAlign w:val="center"/>
          </w:tcPr>
          <w:p>
            <w:pPr>
              <w:autoSpaceDE w:val="0"/>
              <w:autoSpaceDN w:val="0"/>
              <w:adjustRightInd w:val="0"/>
              <w:snapToGrid w:val="0"/>
              <w:spacing w:before="72" w:after="72"/>
              <w:jc w:val="center"/>
              <w:rPr>
                <w:rFonts w:eastAsia="仿宋_GB2312"/>
                <w:b/>
                <w:sz w:val="24"/>
                <w:highlight w:val="none"/>
              </w:rPr>
            </w:pPr>
          </w:p>
        </w:tc>
        <w:tc>
          <w:tcPr>
            <w:tcW w:w="1258" w:type="dxa"/>
            <w:noWrap w:val="0"/>
            <w:vAlign w:val="center"/>
          </w:tcPr>
          <w:p>
            <w:pPr>
              <w:autoSpaceDE w:val="0"/>
              <w:autoSpaceDN w:val="0"/>
              <w:adjustRightInd w:val="0"/>
              <w:snapToGrid w:val="0"/>
              <w:spacing w:before="72" w:after="72"/>
              <w:jc w:val="center"/>
              <w:rPr>
                <w:rFonts w:eastAsia="仿宋_GB2312"/>
                <w:b/>
                <w:sz w:val="24"/>
                <w:highlight w:val="none"/>
              </w:rPr>
            </w:pPr>
            <w:r>
              <w:rPr>
                <w:rFonts w:eastAsia="仿宋_GB2312"/>
                <w:b/>
                <w:sz w:val="24"/>
                <w:highlight w:val="none"/>
              </w:rPr>
              <w:t>0.583</w:t>
            </w:r>
          </w:p>
        </w:tc>
        <w:tc>
          <w:tcPr>
            <w:tcW w:w="1258" w:type="dxa"/>
            <w:noWrap w:val="0"/>
            <w:vAlign w:val="center"/>
          </w:tcPr>
          <w:p>
            <w:pPr>
              <w:autoSpaceDE w:val="0"/>
              <w:autoSpaceDN w:val="0"/>
              <w:adjustRightInd w:val="0"/>
              <w:snapToGrid w:val="0"/>
              <w:spacing w:before="72" w:after="72"/>
              <w:jc w:val="center"/>
              <w:rPr>
                <w:rFonts w:eastAsia="仿宋_GB2312"/>
                <w:b/>
                <w:sz w:val="24"/>
                <w:highlight w:val="none"/>
              </w:rPr>
            </w:pPr>
            <w:r>
              <w:rPr>
                <w:rFonts w:hint="eastAsia" w:eastAsia="仿宋_GB2312"/>
                <w:b/>
                <w:sz w:val="24"/>
                <w:highlight w:val="none"/>
              </w:rPr>
              <w:t>0</w:t>
            </w:r>
            <w:r>
              <w:rPr>
                <w:rFonts w:eastAsia="仿宋_GB2312"/>
                <w:b/>
                <w:sz w:val="24"/>
                <w:highlight w:val="none"/>
              </w:rPr>
              <w:t>.644</w:t>
            </w:r>
          </w:p>
        </w:tc>
        <w:tc>
          <w:tcPr>
            <w:tcW w:w="1256" w:type="dxa"/>
            <w:noWrap w:val="0"/>
            <w:vAlign w:val="center"/>
          </w:tcPr>
          <w:p>
            <w:pPr>
              <w:autoSpaceDE w:val="0"/>
              <w:autoSpaceDN w:val="0"/>
              <w:adjustRightInd w:val="0"/>
              <w:snapToGrid w:val="0"/>
              <w:spacing w:before="72" w:after="72"/>
              <w:jc w:val="center"/>
              <w:rPr>
                <w:rFonts w:eastAsia="仿宋_GB2312"/>
                <w:b/>
                <w:sz w:val="24"/>
                <w:highlight w:val="none"/>
              </w:rPr>
            </w:pPr>
            <w:r>
              <w:rPr>
                <w:rFonts w:hint="eastAsia" w:eastAsia="仿宋_GB2312"/>
                <w:b/>
                <w:sz w:val="24"/>
                <w:highlight w:val="none"/>
              </w:rPr>
              <w:t>0.695</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5" w:type="dxa"/>
            <w:noWrap w:val="0"/>
            <w:vAlign w:val="center"/>
          </w:tcPr>
          <w:p>
            <w:pPr>
              <w:autoSpaceDE w:val="0"/>
              <w:autoSpaceDN w:val="0"/>
              <w:adjustRightInd w:val="0"/>
              <w:snapToGrid w:val="0"/>
              <w:spacing w:before="72" w:after="72"/>
              <w:jc w:val="center"/>
              <w:rPr>
                <w:rFonts w:eastAsia="仿宋_GB2312"/>
                <w:sz w:val="24"/>
                <w:highlight w:val="none"/>
              </w:rPr>
            </w:pPr>
            <w:r>
              <w:rPr>
                <w:rFonts w:hint="eastAsia" w:eastAsia="仿宋_GB2312"/>
                <w:sz w:val="24"/>
                <w:highlight w:val="none"/>
              </w:rPr>
              <w:t>5</w:t>
            </w:r>
          </w:p>
        </w:tc>
        <w:tc>
          <w:tcPr>
            <w:tcW w:w="1133" w:type="dxa"/>
            <w:noWrap w:val="0"/>
            <w:vAlign w:val="center"/>
          </w:tcPr>
          <w:p>
            <w:pPr>
              <w:autoSpaceDE w:val="0"/>
              <w:autoSpaceDN w:val="0"/>
              <w:adjustRightInd w:val="0"/>
              <w:snapToGrid w:val="0"/>
              <w:spacing w:before="72" w:after="72"/>
              <w:jc w:val="center"/>
              <w:rPr>
                <w:rFonts w:eastAsia="仿宋_GB2312"/>
                <w:b/>
                <w:sz w:val="24"/>
                <w:highlight w:val="none"/>
              </w:rPr>
            </w:pPr>
          </w:p>
        </w:tc>
        <w:tc>
          <w:tcPr>
            <w:tcW w:w="1258" w:type="dxa"/>
            <w:noWrap w:val="0"/>
            <w:vAlign w:val="center"/>
          </w:tcPr>
          <w:p>
            <w:pPr>
              <w:autoSpaceDE w:val="0"/>
              <w:autoSpaceDN w:val="0"/>
              <w:adjustRightInd w:val="0"/>
              <w:snapToGrid w:val="0"/>
              <w:spacing w:before="72" w:after="72"/>
              <w:jc w:val="center"/>
              <w:rPr>
                <w:rFonts w:eastAsia="仿宋_GB2312"/>
                <w:b/>
                <w:sz w:val="24"/>
                <w:highlight w:val="none"/>
              </w:rPr>
            </w:pPr>
          </w:p>
        </w:tc>
        <w:tc>
          <w:tcPr>
            <w:tcW w:w="1258" w:type="dxa"/>
            <w:noWrap w:val="0"/>
            <w:vAlign w:val="center"/>
          </w:tcPr>
          <w:p>
            <w:pPr>
              <w:autoSpaceDE w:val="0"/>
              <w:autoSpaceDN w:val="0"/>
              <w:adjustRightInd w:val="0"/>
              <w:snapToGrid w:val="0"/>
              <w:spacing w:before="72" w:after="72"/>
              <w:jc w:val="center"/>
              <w:rPr>
                <w:rFonts w:eastAsia="仿宋_GB2312"/>
                <w:b/>
                <w:sz w:val="24"/>
                <w:highlight w:val="none"/>
              </w:rPr>
            </w:pPr>
          </w:p>
        </w:tc>
        <w:tc>
          <w:tcPr>
            <w:tcW w:w="1258" w:type="dxa"/>
            <w:noWrap w:val="0"/>
            <w:vAlign w:val="center"/>
          </w:tcPr>
          <w:p>
            <w:pPr>
              <w:autoSpaceDE w:val="0"/>
              <w:autoSpaceDN w:val="0"/>
              <w:adjustRightInd w:val="0"/>
              <w:snapToGrid w:val="0"/>
              <w:spacing w:before="72" w:after="72"/>
              <w:jc w:val="center"/>
              <w:rPr>
                <w:rFonts w:eastAsia="仿宋_GB2312"/>
                <w:b/>
                <w:sz w:val="24"/>
                <w:highlight w:val="none"/>
              </w:rPr>
            </w:pPr>
          </w:p>
        </w:tc>
        <w:tc>
          <w:tcPr>
            <w:tcW w:w="1258" w:type="dxa"/>
            <w:noWrap w:val="0"/>
            <w:vAlign w:val="center"/>
          </w:tcPr>
          <w:p>
            <w:pPr>
              <w:autoSpaceDE w:val="0"/>
              <w:autoSpaceDN w:val="0"/>
              <w:adjustRightInd w:val="0"/>
              <w:snapToGrid w:val="0"/>
              <w:spacing w:before="72" w:after="72"/>
              <w:jc w:val="center"/>
              <w:rPr>
                <w:rFonts w:hint="eastAsia" w:eastAsia="仿宋_GB2312"/>
                <w:b/>
                <w:sz w:val="24"/>
                <w:highlight w:val="none"/>
              </w:rPr>
            </w:pPr>
            <w:r>
              <w:rPr>
                <w:rFonts w:hint="eastAsia" w:eastAsia="仿宋_GB2312"/>
                <w:b/>
                <w:sz w:val="24"/>
                <w:highlight w:val="none"/>
              </w:rPr>
              <w:t>0</w:t>
            </w:r>
            <w:r>
              <w:rPr>
                <w:rFonts w:eastAsia="仿宋_GB2312"/>
                <w:b/>
                <w:sz w:val="24"/>
                <w:highlight w:val="none"/>
              </w:rPr>
              <w:t>.588</w:t>
            </w:r>
          </w:p>
        </w:tc>
        <w:tc>
          <w:tcPr>
            <w:tcW w:w="1256" w:type="dxa"/>
            <w:noWrap w:val="0"/>
            <w:vAlign w:val="center"/>
          </w:tcPr>
          <w:p>
            <w:pPr>
              <w:autoSpaceDE w:val="0"/>
              <w:autoSpaceDN w:val="0"/>
              <w:adjustRightInd w:val="0"/>
              <w:snapToGrid w:val="0"/>
              <w:spacing w:before="72" w:after="72"/>
              <w:jc w:val="center"/>
              <w:rPr>
                <w:rFonts w:eastAsia="仿宋_GB2312"/>
                <w:b/>
                <w:sz w:val="24"/>
                <w:highlight w:val="none"/>
              </w:rPr>
            </w:pPr>
            <w:r>
              <w:rPr>
                <w:rFonts w:hint="eastAsia" w:eastAsia="仿宋_GB2312"/>
                <w:b/>
                <w:sz w:val="24"/>
                <w:highlight w:val="none"/>
              </w:rPr>
              <w:t>0.636</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5" w:type="dxa"/>
            <w:noWrap w:val="0"/>
            <w:vAlign w:val="center"/>
          </w:tcPr>
          <w:p>
            <w:pPr>
              <w:autoSpaceDE w:val="0"/>
              <w:autoSpaceDN w:val="0"/>
              <w:adjustRightInd w:val="0"/>
              <w:snapToGrid w:val="0"/>
              <w:spacing w:before="72" w:after="72"/>
              <w:jc w:val="center"/>
              <w:rPr>
                <w:rFonts w:eastAsia="仿宋_GB2312"/>
                <w:sz w:val="24"/>
                <w:highlight w:val="none"/>
              </w:rPr>
            </w:pPr>
            <w:r>
              <w:rPr>
                <w:rFonts w:hint="eastAsia" w:eastAsia="仿宋_GB2312"/>
                <w:sz w:val="24"/>
                <w:highlight w:val="none"/>
              </w:rPr>
              <w:t>6</w:t>
            </w:r>
          </w:p>
        </w:tc>
        <w:tc>
          <w:tcPr>
            <w:tcW w:w="1133" w:type="dxa"/>
            <w:noWrap w:val="0"/>
            <w:vAlign w:val="center"/>
          </w:tcPr>
          <w:p>
            <w:pPr>
              <w:autoSpaceDE w:val="0"/>
              <w:autoSpaceDN w:val="0"/>
              <w:adjustRightInd w:val="0"/>
              <w:snapToGrid w:val="0"/>
              <w:spacing w:before="72" w:after="72"/>
              <w:jc w:val="center"/>
              <w:rPr>
                <w:rFonts w:eastAsia="仿宋_GB2312"/>
                <w:b/>
                <w:sz w:val="24"/>
                <w:highlight w:val="none"/>
              </w:rPr>
            </w:pPr>
          </w:p>
        </w:tc>
        <w:tc>
          <w:tcPr>
            <w:tcW w:w="1258" w:type="dxa"/>
            <w:noWrap w:val="0"/>
            <w:vAlign w:val="center"/>
          </w:tcPr>
          <w:p>
            <w:pPr>
              <w:autoSpaceDE w:val="0"/>
              <w:autoSpaceDN w:val="0"/>
              <w:adjustRightInd w:val="0"/>
              <w:snapToGrid w:val="0"/>
              <w:spacing w:before="72" w:after="72"/>
              <w:jc w:val="center"/>
              <w:rPr>
                <w:rFonts w:eastAsia="仿宋_GB2312"/>
                <w:b/>
                <w:sz w:val="24"/>
                <w:highlight w:val="none"/>
              </w:rPr>
            </w:pPr>
          </w:p>
        </w:tc>
        <w:tc>
          <w:tcPr>
            <w:tcW w:w="1258" w:type="dxa"/>
            <w:noWrap w:val="0"/>
            <w:vAlign w:val="center"/>
          </w:tcPr>
          <w:p>
            <w:pPr>
              <w:autoSpaceDE w:val="0"/>
              <w:autoSpaceDN w:val="0"/>
              <w:adjustRightInd w:val="0"/>
              <w:snapToGrid w:val="0"/>
              <w:spacing w:before="72" w:after="72"/>
              <w:jc w:val="center"/>
              <w:rPr>
                <w:rFonts w:eastAsia="仿宋_GB2312"/>
                <w:b/>
                <w:sz w:val="24"/>
                <w:highlight w:val="none"/>
              </w:rPr>
            </w:pPr>
          </w:p>
        </w:tc>
        <w:tc>
          <w:tcPr>
            <w:tcW w:w="1258" w:type="dxa"/>
            <w:noWrap w:val="0"/>
            <w:vAlign w:val="center"/>
          </w:tcPr>
          <w:p>
            <w:pPr>
              <w:autoSpaceDE w:val="0"/>
              <w:autoSpaceDN w:val="0"/>
              <w:adjustRightInd w:val="0"/>
              <w:snapToGrid w:val="0"/>
              <w:spacing w:before="72" w:after="72"/>
              <w:jc w:val="center"/>
              <w:rPr>
                <w:rFonts w:eastAsia="仿宋_GB2312"/>
                <w:b/>
                <w:sz w:val="24"/>
                <w:highlight w:val="none"/>
              </w:rPr>
            </w:pPr>
          </w:p>
        </w:tc>
        <w:tc>
          <w:tcPr>
            <w:tcW w:w="1258" w:type="dxa"/>
            <w:noWrap w:val="0"/>
            <w:vAlign w:val="center"/>
          </w:tcPr>
          <w:p>
            <w:pPr>
              <w:autoSpaceDE w:val="0"/>
              <w:autoSpaceDN w:val="0"/>
              <w:adjustRightInd w:val="0"/>
              <w:snapToGrid w:val="0"/>
              <w:spacing w:before="72" w:after="72"/>
              <w:jc w:val="center"/>
              <w:rPr>
                <w:rFonts w:hint="eastAsia" w:eastAsia="仿宋_GB2312"/>
                <w:b/>
                <w:sz w:val="24"/>
                <w:highlight w:val="none"/>
              </w:rPr>
            </w:pPr>
          </w:p>
        </w:tc>
        <w:tc>
          <w:tcPr>
            <w:tcW w:w="1256" w:type="dxa"/>
            <w:noWrap w:val="0"/>
            <w:vAlign w:val="center"/>
          </w:tcPr>
          <w:p>
            <w:pPr>
              <w:autoSpaceDE w:val="0"/>
              <w:autoSpaceDN w:val="0"/>
              <w:adjustRightInd w:val="0"/>
              <w:snapToGrid w:val="0"/>
              <w:spacing w:before="72" w:after="72"/>
              <w:jc w:val="center"/>
              <w:rPr>
                <w:rFonts w:eastAsia="仿宋_GB2312"/>
                <w:b/>
                <w:sz w:val="24"/>
                <w:highlight w:val="none"/>
              </w:rPr>
            </w:pPr>
            <w:r>
              <w:rPr>
                <w:rFonts w:hint="eastAsia" w:eastAsia="仿宋_GB2312"/>
                <w:b/>
                <w:sz w:val="24"/>
                <w:highlight w:val="none"/>
              </w:rPr>
              <w:t>0.596</w:t>
            </w:r>
          </w:p>
        </w:tc>
      </w:tr>
    </w:tbl>
    <w:p>
      <w:pPr>
        <w:autoSpaceDE w:val="0"/>
        <w:autoSpaceDN w:val="0"/>
        <w:adjustRightInd w:val="0"/>
        <w:snapToGrid w:val="0"/>
        <w:spacing w:before="48" w:beforeLines="20"/>
        <w:jc w:val="left"/>
        <w:rPr>
          <w:rFonts w:eastAsia="仿宋_GB2312"/>
          <w:kern w:val="0"/>
          <w:sz w:val="24"/>
          <w:highlight w:val="none"/>
        </w:rPr>
      </w:pPr>
      <w:r>
        <w:rPr>
          <w:rFonts w:eastAsia="仿宋_GB2312"/>
          <w:kern w:val="0"/>
          <w:sz w:val="24"/>
          <w:highlight w:val="none"/>
        </w:rPr>
        <w:t>备注：1</w:t>
      </w:r>
      <w:r>
        <w:rPr>
          <w:rFonts w:hint="eastAsia" w:eastAsia="仿宋_GB2312"/>
          <w:kern w:val="0"/>
          <w:sz w:val="24"/>
          <w:highlight w:val="none"/>
        </w:rPr>
        <w:t>.</w:t>
      </w:r>
      <w:r>
        <w:rPr>
          <w:rFonts w:eastAsia="仿宋_GB2312"/>
          <w:kern w:val="0"/>
          <w:sz w:val="24"/>
          <w:highlight w:val="none"/>
        </w:rPr>
        <w:t>商业用地（含零售商业用地、批发市场用地、餐饮用地、其他商业用地等二级类用地）地上建筑物楼层修正系数是对商业平均楼面地价修正至具体某一层的楼面地价； </w:t>
      </w:r>
    </w:p>
    <w:p>
      <w:pPr>
        <w:autoSpaceDE w:val="0"/>
        <w:autoSpaceDN w:val="0"/>
        <w:adjustRightInd w:val="0"/>
        <w:snapToGrid w:val="0"/>
        <w:spacing w:before="48" w:beforeLines="20"/>
        <w:ind w:firstLine="720" w:firstLineChars="300"/>
        <w:jc w:val="left"/>
        <w:rPr>
          <w:rFonts w:hint="eastAsia" w:eastAsia="仿宋_GB2312"/>
          <w:kern w:val="0"/>
          <w:sz w:val="24"/>
          <w:highlight w:val="none"/>
        </w:rPr>
      </w:pPr>
      <w:r>
        <w:rPr>
          <w:rFonts w:hint="eastAsia" w:eastAsia="仿宋_GB2312"/>
          <w:kern w:val="0"/>
          <w:sz w:val="24"/>
          <w:highlight w:val="none"/>
        </w:rPr>
        <w:t>2</w:t>
      </w:r>
      <w:r>
        <w:rPr>
          <w:rFonts w:eastAsia="仿宋_GB2312"/>
          <w:kern w:val="0"/>
          <w:sz w:val="24"/>
          <w:highlight w:val="none"/>
        </w:rPr>
        <w:t>.商业用地二级类用地中的娱乐用地</w:t>
      </w:r>
      <w:r>
        <w:rPr>
          <w:rFonts w:hint="eastAsia" w:eastAsia="仿宋_GB2312"/>
          <w:kern w:val="0"/>
          <w:sz w:val="24"/>
          <w:highlight w:val="none"/>
        </w:rPr>
        <w:t>和</w:t>
      </w:r>
      <w:r>
        <w:rPr>
          <w:rFonts w:eastAsia="仿宋_GB2312"/>
          <w:kern w:val="0"/>
          <w:sz w:val="24"/>
          <w:highlight w:val="none"/>
        </w:rPr>
        <w:t>商务金融用地的楼层修正系数参考基准地价成果中办公用地修正体系中的楼层分配系数进行修正</w:t>
      </w:r>
      <w:r>
        <w:rPr>
          <w:rFonts w:hint="eastAsia" w:eastAsia="仿宋_GB2312"/>
          <w:kern w:val="0"/>
          <w:sz w:val="24"/>
          <w:highlight w:val="none"/>
        </w:rPr>
        <w:t>，大型游乐设施用地不作地上建筑物楼层修正。</w:t>
      </w:r>
    </w:p>
    <w:p>
      <w:pPr>
        <w:autoSpaceDE w:val="0"/>
        <w:autoSpaceDN w:val="0"/>
        <w:adjustRightInd w:val="0"/>
        <w:snapToGrid w:val="0"/>
        <w:spacing w:before="48" w:beforeLines="20"/>
        <w:ind w:firstLine="720" w:firstLineChars="300"/>
        <w:jc w:val="left"/>
        <w:rPr>
          <w:rFonts w:hint="eastAsia" w:ascii="仿宋_GB2312" w:eastAsia="仿宋_GB2312"/>
          <w:kern w:val="0"/>
          <w:sz w:val="24"/>
          <w:highlight w:val="none"/>
        </w:rPr>
      </w:pPr>
      <w:r>
        <w:rPr>
          <w:rFonts w:eastAsia="仿宋_GB2312"/>
          <w:kern w:val="0"/>
          <w:sz w:val="24"/>
          <w:highlight w:val="none"/>
        </w:rPr>
        <w:t>3</w:t>
      </w:r>
      <w:r>
        <w:rPr>
          <w:rFonts w:hint="eastAsia" w:eastAsia="仿宋_GB2312"/>
          <w:kern w:val="0"/>
          <w:sz w:val="24"/>
          <w:highlight w:val="none"/>
        </w:rPr>
        <w:t>.</w:t>
      </w:r>
      <w:r>
        <w:rPr>
          <w:rFonts w:eastAsia="仿宋_GB2312"/>
          <w:kern w:val="0"/>
          <w:sz w:val="24"/>
          <w:highlight w:val="none"/>
        </w:rPr>
        <w:t>含有商业部分的综合用地或部分独立建设商业的大型综合体，其楼层修正系</w:t>
      </w:r>
      <w:r>
        <w:rPr>
          <w:rFonts w:hint="eastAsia" w:ascii="仿宋_GB2312" w:eastAsia="仿宋_GB2312"/>
          <w:kern w:val="0"/>
          <w:sz w:val="24"/>
          <w:highlight w:val="none"/>
        </w:rPr>
        <w:t>数按商业部分实际楼层数套用上表进行修正。</w:t>
      </w:r>
    </w:p>
    <w:p>
      <w:pPr>
        <w:autoSpaceDE w:val="0"/>
        <w:autoSpaceDN w:val="0"/>
        <w:adjustRightInd w:val="0"/>
        <w:snapToGrid w:val="0"/>
        <w:spacing w:before="48" w:beforeLines="20"/>
        <w:ind w:firstLine="720" w:firstLineChars="300"/>
        <w:jc w:val="left"/>
        <w:rPr>
          <w:rFonts w:hint="eastAsia" w:ascii="仿宋_GB2312" w:eastAsia="仿宋_GB2312"/>
          <w:kern w:val="0"/>
          <w:sz w:val="24"/>
          <w:highlight w:val="none"/>
        </w:rPr>
      </w:pPr>
      <w:r>
        <w:rPr>
          <w:rFonts w:hint="eastAsia" w:eastAsia="仿宋_GB2312"/>
          <w:kern w:val="0"/>
          <w:sz w:val="24"/>
          <w:highlight w:val="none"/>
          <w:lang w:val="en-US" w:eastAsia="zh-CN"/>
        </w:rPr>
        <w:t>4</w:t>
      </w:r>
      <w:r>
        <w:rPr>
          <w:rFonts w:hint="eastAsia" w:eastAsia="仿宋_GB2312"/>
          <w:kern w:val="0"/>
          <w:sz w:val="24"/>
          <w:highlight w:val="none"/>
        </w:rPr>
        <w:t>.</w:t>
      </w:r>
      <w:r>
        <w:rPr>
          <w:rFonts w:hint="eastAsia" w:eastAsia="仿宋_GB2312"/>
          <w:kern w:val="0"/>
          <w:sz w:val="24"/>
          <w:highlight w:val="none"/>
          <w:lang w:val="en-US" w:eastAsia="zh-CN"/>
        </w:rPr>
        <w:t>如商业</w:t>
      </w:r>
      <w:r>
        <w:rPr>
          <w:rFonts w:eastAsia="仿宋_GB2312"/>
          <w:kern w:val="0"/>
          <w:sz w:val="24"/>
          <w:highlight w:val="none"/>
        </w:rPr>
        <w:t>用地</w:t>
      </w:r>
      <w:r>
        <w:rPr>
          <w:rFonts w:hint="eastAsia" w:eastAsia="仿宋_GB2312"/>
          <w:kern w:val="0"/>
          <w:sz w:val="24"/>
          <w:highlight w:val="none"/>
          <w:lang w:val="en-US" w:eastAsia="zh-CN"/>
        </w:rPr>
        <w:t>地上建筑物涉及多个楼层且无法明确各楼层建筑面积的，则按照楼层数均分确定各楼层建筑面积</w:t>
      </w:r>
      <w:r>
        <w:rPr>
          <w:rFonts w:hint="eastAsia" w:ascii="仿宋_GB2312" w:eastAsia="仿宋_GB2312"/>
          <w:kern w:val="0"/>
          <w:sz w:val="24"/>
          <w:highlight w:val="none"/>
        </w:rPr>
        <w:t>。</w:t>
      </w:r>
    </w:p>
    <w:p>
      <w:pPr>
        <w:pStyle w:val="4"/>
        <w:rPr>
          <w:rFonts w:hint="eastAsia"/>
          <w:highlight w:val="none"/>
        </w:rPr>
      </w:pPr>
    </w:p>
    <w:p>
      <w:pPr>
        <w:autoSpaceDE w:val="0"/>
        <w:autoSpaceDN w:val="0"/>
        <w:adjustRightInd w:val="0"/>
        <w:snapToGrid w:val="0"/>
        <w:spacing w:before="72" w:after="72"/>
        <w:ind w:firstLine="562"/>
        <w:jc w:val="center"/>
        <w:rPr>
          <w:rFonts w:hint="eastAsia" w:ascii="仿宋_GB2312" w:eastAsia="仿宋_GB2312"/>
          <w:b/>
          <w:kern w:val="0"/>
          <w:sz w:val="28"/>
          <w:szCs w:val="28"/>
          <w:highlight w:val="none"/>
        </w:rPr>
      </w:pPr>
      <w:r>
        <w:rPr>
          <w:rFonts w:hint="eastAsia" w:ascii="仿宋_GB2312" w:eastAsia="仿宋_GB2312"/>
          <w:b/>
          <w:kern w:val="0"/>
          <w:sz w:val="28"/>
          <w:szCs w:val="28"/>
          <w:highlight w:val="none"/>
        </w:rPr>
        <w:t>商业用途地下建筑物楼层修正系数表</w:t>
      </w:r>
    </w:p>
    <w:tbl>
      <w:tblPr>
        <w:tblStyle w:val="5"/>
        <w:tblW w:w="0" w:type="auto"/>
        <w:jc w:val="center"/>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2236"/>
        <w:gridCol w:w="2237"/>
        <w:gridCol w:w="2237"/>
      </w:tblGrid>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236" w:type="dxa"/>
            <w:noWrap w:val="0"/>
            <w:vAlign w:val="center"/>
          </w:tcPr>
          <w:p>
            <w:pPr>
              <w:autoSpaceDE w:val="0"/>
              <w:autoSpaceDN w:val="0"/>
              <w:adjustRightInd w:val="0"/>
              <w:snapToGrid w:val="0"/>
              <w:spacing w:before="72" w:after="72"/>
              <w:jc w:val="center"/>
              <w:rPr>
                <w:rFonts w:hint="eastAsia" w:ascii="仿宋_GB2312" w:eastAsia="仿宋_GB2312"/>
                <w:sz w:val="24"/>
                <w:highlight w:val="none"/>
              </w:rPr>
            </w:pPr>
            <w:r>
              <w:rPr>
                <w:rFonts w:hint="eastAsia" w:ascii="仿宋_GB2312" w:eastAsia="仿宋_GB2312"/>
                <w:sz w:val="24"/>
                <w:highlight w:val="none"/>
              </w:rPr>
              <w:t>楼层</w:t>
            </w:r>
          </w:p>
        </w:tc>
        <w:tc>
          <w:tcPr>
            <w:tcW w:w="2236" w:type="dxa"/>
            <w:noWrap w:val="0"/>
            <w:vAlign w:val="center"/>
          </w:tcPr>
          <w:p>
            <w:pPr>
              <w:autoSpaceDE w:val="0"/>
              <w:autoSpaceDN w:val="0"/>
              <w:adjustRightInd w:val="0"/>
              <w:snapToGrid w:val="0"/>
              <w:spacing w:before="72" w:after="72"/>
              <w:jc w:val="center"/>
              <w:rPr>
                <w:rFonts w:hint="eastAsia" w:ascii="仿宋_GB2312" w:eastAsia="仿宋_GB2312"/>
                <w:sz w:val="24"/>
                <w:highlight w:val="none"/>
              </w:rPr>
            </w:pPr>
            <w:r>
              <w:rPr>
                <w:rFonts w:hint="eastAsia" w:ascii="仿宋_GB2312" w:eastAsia="仿宋_GB2312"/>
                <w:sz w:val="24"/>
                <w:highlight w:val="none"/>
              </w:rPr>
              <w:t>地下负一层</w:t>
            </w:r>
          </w:p>
        </w:tc>
        <w:tc>
          <w:tcPr>
            <w:tcW w:w="2237" w:type="dxa"/>
            <w:noWrap w:val="0"/>
            <w:vAlign w:val="center"/>
          </w:tcPr>
          <w:p>
            <w:pPr>
              <w:autoSpaceDE w:val="0"/>
              <w:autoSpaceDN w:val="0"/>
              <w:adjustRightInd w:val="0"/>
              <w:snapToGrid w:val="0"/>
              <w:spacing w:before="72" w:after="72"/>
              <w:jc w:val="center"/>
              <w:rPr>
                <w:rFonts w:hint="eastAsia" w:ascii="仿宋_GB2312" w:eastAsia="仿宋_GB2312"/>
                <w:sz w:val="24"/>
                <w:highlight w:val="none"/>
              </w:rPr>
            </w:pPr>
            <w:r>
              <w:rPr>
                <w:rFonts w:hint="eastAsia" w:ascii="仿宋_GB2312" w:eastAsia="仿宋_GB2312"/>
                <w:sz w:val="24"/>
                <w:highlight w:val="none"/>
              </w:rPr>
              <w:t>地下负二层</w:t>
            </w:r>
          </w:p>
        </w:tc>
        <w:tc>
          <w:tcPr>
            <w:tcW w:w="2237" w:type="dxa"/>
            <w:noWrap w:val="0"/>
            <w:vAlign w:val="center"/>
          </w:tcPr>
          <w:p>
            <w:pPr>
              <w:autoSpaceDE w:val="0"/>
              <w:autoSpaceDN w:val="0"/>
              <w:adjustRightInd w:val="0"/>
              <w:snapToGrid w:val="0"/>
              <w:spacing w:before="72" w:after="72"/>
              <w:jc w:val="center"/>
              <w:rPr>
                <w:rFonts w:hint="eastAsia" w:ascii="仿宋_GB2312" w:eastAsia="仿宋_GB2312"/>
                <w:sz w:val="24"/>
                <w:highlight w:val="none"/>
              </w:rPr>
            </w:pPr>
            <w:r>
              <w:rPr>
                <w:rFonts w:hint="eastAsia" w:ascii="仿宋_GB2312" w:eastAsia="仿宋_GB2312"/>
                <w:sz w:val="24"/>
                <w:highlight w:val="none"/>
              </w:rPr>
              <w:t>地下负三层及以下</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236" w:type="dxa"/>
            <w:noWrap w:val="0"/>
            <w:vAlign w:val="center"/>
          </w:tcPr>
          <w:p>
            <w:pPr>
              <w:autoSpaceDE w:val="0"/>
              <w:autoSpaceDN w:val="0"/>
              <w:adjustRightInd w:val="0"/>
              <w:snapToGrid w:val="0"/>
              <w:spacing w:before="72" w:after="72"/>
              <w:jc w:val="center"/>
              <w:rPr>
                <w:rFonts w:hint="eastAsia" w:ascii="仿宋_GB2312" w:eastAsia="仿宋_GB2312"/>
                <w:sz w:val="24"/>
                <w:highlight w:val="none"/>
              </w:rPr>
            </w:pPr>
            <w:r>
              <w:rPr>
                <w:rFonts w:hint="eastAsia" w:ascii="仿宋_GB2312" w:eastAsia="仿宋_GB2312"/>
                <w:sz w:val="24"/>
                <w:highlight w:val="none"/>
              </w:rPr>
              <w:t>修正系数</w:t>
            </w:r>
          </w:p>
        </w:tc>
        <w:tc>
          <w:tcPr>
            <w:tcW w:w="2236" w:type="dxa"/>
            <w:noWrap w:val="0"/>
            <w:vAlign w:val="center"/>
          </w:tcPr>
          <w:p>
            <w:pPr>
              <w:autoSpaceDE w:val="0"/>
              <w:autoSpaceDN w:val="0"/>
              <w:adjustRightInd w:val="0"/>
              <w:snapToGrid w:val="0"/>
              <w:spacing w:before="72" w:after="72"/>
              <w:jc w:val="center"/>
              <w:rPr>
                <w:rFonts w:hint="eastAsia" w:eastAsia="仿宋_GB2312"/>
                <w:b/>
                <w:sz w:val="24"/>
                <w:highlight w:val="none"/>
              </w:rPr>
            </w:pPr>
            <w:r>
              <w:rPr>
                <w:rFonts w:hint="eastAsia" w:eastAsia="仿宋_GB2312"/>
                <w:b/>
                <w:sz w:val="24"/>
                <w:highlight w:val="none"/>
              </w:rPr>
              <w:t>0.7</w:t>
            </w:r>
          </w:p>
        </w:tc>
        <w:tc>
          <w:tcPr>
            <w:tcW w:w="2237" w:type="dxa"/>
            <w:noWrap w:val="0"/>
            <w:vAlign w:val="center"/>
          </w:tcPr>
          <w:p>
            <w:pPr>
              <w:autoSpaceDE w:val="0"/>
              <w:autoSpaceDN w:val="0"/>
              <w:adjustRightInd w:val="0"/>
              <w:snapToGrid w:val="0"/>
              <w:spacing w:before="72" w:after="72"/>
              <w:jc w:val="center"/>
              <w:rPr>
                <w:rFonts w:eastAsia="仿宋_GB2312"/>
                <w:b/>
                <w:sz w:val="24"/>
                <w:highlight w:val="none"/>
              </w:rPr>
            </w:pPr>
            <w:r>
              <w:rPr>
                <w:rFonts w:hint="eastAsia" w:eastAsia="仿宋_GB2312"/>
                <w:b/>
                <w:sz w:val="24"/>
                <w:highlight w:val="none"/>
              </w:rPr>
              <w:t>0</w:t>
            </w:r>
            <w:r>
              <w:rPr>
                <w:rFonts w:eastAsia="仿宋_GB2312"/>
                <w:b/>
                <w:sz w:val="24"/>
                <w:highlight w:val="none"/>
              </w:rPr>
              <w:t>.</w:t>
            </w:r>
            <w:r>
              <w:rPr>
                <w:rFonts w:hint="eastAsia" w:eastAsia="仿宋_GB2312"/>
                <w:b/>
                <w:sz w:val="24"/>
                <w:highlight w:val="none"/>
              </w:rPr>
              <w:t>46</w:t>
            </w:r>
          </w:p>
        </w:tc>
        <w:tc>
          <w:tcPr>
            <w:tcW w:w="2237" w:type="dxa"/>
            <w:noWrap w:val="0"/>
            <w:vAlign w:val="center"/>
          </w:tcPr>
          <w:p>
            <w:pPr>
              <w:autoSpaceDE w:val="0"/>
              <w:autoSpaceDN w:val="0"/>
              <w:adjustRightInd w:val="0"/>
              <w:snapToGrid w:val="0"/>
              <w:spacing w:before="72" w:after="72"/>
              <w:jc w:val="center"/>
              <w:rPr>
                <w:rFonts w:eastAsia="仿宋_GB2312"/>
                <w:b/>
                <w:sz w:val="24"/>
                <w:highlight w:val="none"/>
              </w:rPr>
            </w:pPr>
            <w:r>
              <w:rPr>
                <w:rFonts w:hint="eastAsia" w:eastAsia="仿宋_GB2312"/>
                <w:b/>
                <w:sz w:val="24"/>
                <w:highlight w:val="none"/>
              </w:rPr>
              <w:t>0</w:t>
            </w:r>
            <w:r>
              <w:rPr>
                <w:rFonts w:eastAsia="仿宋_GB2312"/>
                <w:b/>
                <w:sz w:val="24"/>
                <w:highlight w:val="none"/>
              </w:rPr>
              <w:t>.</w:t>
            </w:r>
            <w:r>
              <w:rPr>
                <w:rFonts w:hint="eastAsia" w:eastAsia="仿宋_GB2312"/>
                <w:b/>
                <w:sz w:val="24"/>
                <w:highlight w:val="none"/>
              </w:rPr>
              <w:t>35</w:t>
            </w:r>
          </w:p>
        </w:tc>
      </w:tr>
    </w:tbl>
    <w:p>
      <w:pPr>
        <w:autoSpaceDE w:val="0"/>
        <w:autoSpaceDN w:val="0"/>
        <w:adjustRightInd w:val="0"/>
        <w:snapToGrid w:val="0"/>
        <w:ind w:firstLine="480" w:firstLineChars="200"/>
        <w:rPr>
          <w:rFonts w:hint="eastAsia" w:ascii="仿宋_GB2312" w:eastAsia="仿宋_GB2312"/>
          <w:sz w:val="24"/>
          <w:highlight w:val="none"/>
        </w:rPr>
      </w:pPr>
      <w:r>
        <w:rPr>
          <w:rFonts w:hint="eastAsia" w:ascii="仿宋_GB2312" w:eastAsia="仿宋_GB2312"/>
          <w:sz w:val="24"/>
          <w:highlight w:val="none"/>
        </w:rPr>
        <w:t>备注：商业用途地下建筑物楼层修正以对应地上商业用途的平均楼面</w:t>
      </w:r>
      <w:r>
        <w:rPr>
          <w:rFonts w:ascii="仿宋_GB2312" w:eastAsia="仿宋_GB2312"/>
          <w:sz w:val="24"/>
          <w:highlight w:val="none"/>
        </w:rPr>
        <w:t>地价进行修正。</w:t>
      </w:r>
    </w:p>
    <w:p>
      <w:pPr>
        <w:autoSpaceDE w:val="0"/>
        <w:autoSpaceDN w:val="0"/>
        <w:adjustRightInd w:val="0"/>
        <w:snapToGrid w:val="0"/>
        <w:spacing w:before="72" w:after="72"/>
        <w:ind w:firstLine="562"/>
        <w:jc w:val="center"/>
        <w:rPr>
          <w:rFonts w:hint="eastAsia" w:ascii="仿宋_GB2312" w:eastAsia="仿宋_GB2312"/>
          <w:b/>
          <w:kern w:val="0"/>
          <w:sz w:val="28"/>
          <w:szCs w:val="28"/>
          <w:highlight w:val="none"/>
        </w:rPr>
      </w:pPr>
      <w:r>
        <w:rPr>
          <w:rFonts w:hint="eastAsia" w:ascii="仿宋_GB2312" w:eastAsia="仿宋_GB2312"/>
          <w:b/>
          <w:kern w:val="0"/>
          <w:sz w:val="28"/>
          <w:szCs w:val="28"/>
          <w:highlight w:val="none"/>
        </w:rPr>
        <w:t>住宅、办公和酒店用途地下建筑物楼层修正系数表</w:t>
      </w:r>
    </w:p>
    <w:tbl>
      <w:tblPr>
        <w:tblStyle w:val="5"/>
        <w:tblW w:w="0" w:type="auto"/>
        <w:jc w:val="center"/>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2236"/>
        <w:gridCol w:w="2237"/>
        <w:gridCol w:w="2237"/>
      </w:tblGrid>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236" w:type="dxa"/>
            <w:noWrap w:val="0"/>
            <w:vAlign w:val="center"/>
          </w:tcPr>
          <w:p>
            <w:pPr>
              <w:autoSpaceDE w:val="0"/>
              <w:autoSpaceDN w:val="0"/>
              <w:adjustRightInd w:val="0"/>
              <w:snapToGrid w:val="0"/>
              <w:spacing w:before="72" w:after="72"/>
              <w:jc w:val="center"/>
              <w:rPr>
                <w:rFonts w:hint="eastAsia" w:ascii="仿宋_GB2312" w:eastAsia="仿宋_GB2312"/>
                <w:sz w:val="24"/>
                <w:highlight w:val="none"/>
              </w:rPr>
            </w:pPr>
            <w:r>
              <w:rPr>
                <w:rFonts w:hint="eastAsia" w:ascii="仿宋_GB2312" w:eastAsia="仿宋_GB2312"/>
                <w:sz w:val="24"/>
                <w:highlight w:val="none"/>
              </w:rPr>
              <w:t>楼层</w:t>
            </w:r>
          </w:p>
        </w:tc>
        <w:tc>
          <w:tcPr>
            <w:tcW w:w="2236" w:type="dxa"/>
            <w:noWrap w:val="0"/>
            <w:vAlign w:val="center"/>
          </w:tcPr>
          <w:p>
            <w:pPr>
              <w:autoSpaceDE w:val="0"/>
              <w:autoSpaceDN w:val="0"/>
              <w:adjustRightInd w:val="0"/>
              <w:snapToGrid w:val="0"/>
              <w:spacing w:before="72" w:after="72"/>
              <w:jc w:val="center"/>
              <w:rPr>
                <w:rFonts w:hint="eastAsia" w:ascii="仿宋_GB2312" w:eastAsia="仿宋_GB2312"/>
                <w:sz w:val="24"/>
                <w:highlight w:val="none"/>
              </w:rPr>
            </w:pPr>
            <w:r>
              <w:rPr>
                <w:rFonts w:hint="eastAsia" w:ascii="仿宋_GB2312" w:eastAsia="仿宋_GB2312"/>
                <w:sz w:val="24"/>
                <w:highlight w:val="none"/>
              </w:rPr>
              <w:t>地下负一层</w:t>
            </w:r>
          </w:p>
        </w:tc>
        <w:tc>
          <w:tcPr>
            <w:tcW w:w="2237" w:type="dxa"/>
            <w:noWrap w:val="0"/>
            <w:vAlign w:val="center"/>
          </w:tcPr>
          <w:p>
            <w:pPr>
              <w:autoSpaceDE w:val="0"/>
              <w:autoSpaceDN w:val="0"/>
              <w:adjustRightInd w:val="0"/>
              <w:snapToGrid w:val="0"/>
              <w:spacing w:before="72" w:after="72"/>
              <w:jc w:val="center"/>
              <w:rPr>
                <w:rFonts w:hint="eastAsia" w:ascii="仿宋_GB2312" w:eastAsia="仿宋_GB2312"/>
                <w:sz w:val="24"/>
                <w:highlight w:val="none"/>
              </w:rPr>
            </w:pPr>
            <w:r>
              <w:rPr>
                <w:rFonts w:hint="eastAsia" w:ascii="仿宋_GB2312" w:eastAsia="仿宋_GB2312"/>
                <w:sz w:val="24"/>
                <w:highlight w:val="none"/>
              </w:rPr>
              <w:t>地下负二层</w:t>
            </w:r>
          </w:p>
        </w:tc>
        <w:tc>
          <w:tcPr>
            <w:tcW w:w="2237" w:type="dxa"/>
            <w:noWrap w:val="0"/>
            <w:vAlign w:val="center"/>
          </w:tcPr>
          <w:p>
            <w:pPr>
              <w:autoSpaceDE w:val="0"/>
              <w:autoSpaceDN w:val="0"/>
              <w:adjustRightInd w:val="0"/>
              <w:snapToGrid w:val="0"/>
              <w:spacing w:before="72" w:after="72"/>
              <w:jc w:val="center"/>
              <w:rPr>
                <w:rFonts w:hint="eastAsia" w:ascii="仿宋_GB2312" w:eastAsia="仿宋_GB2312"/>
                <w:sz w:val="24"/>
                <w:highlight w:val="none"/>
              </w:rPr>
            </w:pPr>
            <w:r>
              <w:rPr>
                <w:rFonts w:hint="eastAsia" w:ascii="仿宋_GB2312" w:eastAsia="仿宋_GB2312"/>
                <w:sz w:val="24"/>
                <w:highlight w:val="none"/>
              </w:rPr>
              <w:t>地下负三层及以下</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236" w:type="dxa"/>
            <w:noWrap w:val="0"/>
            <w:vAlign w:val="center"/>
          </w:tcPr>
          <w:p>
            <w:pPr>
              <w:autoSpaceDE w:val="0"/>
              <w:autoSpaceDN w:val="0"/>
              <w:adjustRightInd w:val="0"/>
              <w:snapToGrid w:val="0"/>
              <w:spacing w:before="72" w:after="72"/>
              <w:jc w:val="center"/>
              <w:rPr>
                <w:rFonts w:hint="eastAsia" w:ascii="仿宋_GB2312" w:eastAsia="仿宋_GB2312"/>
                <w:sz w:val="24"/>
                <w:highlight w:val="none"/>
              </w:rPr>
            </w:pPr>
            <w:r>
              <w:rPr>
                <w:rFonts w:hint="eastAsia" w:ascii="仿宋_GB2312" w:eastAsia="仿宋_GB2312"/>
                <w:sz w:val="24"/>
                <w:highlight w:val="none"/>
              </w:rPr>
              <w:t>修正系数</w:t>
            </w:r>
          </w:p>
        </w:tc>
        <w:tc>
          <w:tcPr>
            <w:tcW w:w="2236" w:type="dxa"/>
            <w:noWrap w:val="0"/>
            <w:vAlign w:val="center"/>
          </w:tcPr>
          <w:p>
            <w:pPr>
              <w:autoSpaceDE w:val="0"/>
              <w:autoSpaceDN w:val="0"/>
              <w:adjustRightInd w:val="0"/>
              <w:snapToGrid w:val="0"/>
              <w:spacing w:before="72" w:after="72"/>
              <w:jc w:val="center"/>
              <w:rPr>
                <w:rFonts w:eastAsia="仿宋_GB2312"/>
                <w:b/>
                <w:sz w:val="24"/>
                <w:highlight w:val="none"/>
              </w:rPr>
            </w:pPr>
            <w:r>
              <w:rPr>
                <w:rFonts w:eastAsia="仿宋_GB2312"/>
                <w:b/>
                <w:sz w:val="24"/>
                <w:highlight w:val="none"/>
              </w:rPr>
              <w:t>0.38</w:t>
            </w:r>
          </w:p>
        </w:tc>
        <w:tc>
          <w:tcPr>
            <w:tcW w:w="2237" w:type="dxa"/>
            <w:noWrap w:val="0"/>
            <w:vAlign w:val="center"/>
          </w:tcPr>
          <w:p>
            <w:pPr>
              <w:autoSpaceDE w:val="0"/>
              <w:autoSpaceDN w:val="0"/>
              <w:adjustRightInd w:val="0"/>
              <w:snapToGrid w:val="0"/>
              <w:spacing w:before="72" w:after="72"/>
              <w:jc w:val="center"/>
              <w:rPr>
                <w:rFonts w:eastAsia="仿宋_GB2312"/>
                <w:b/>
                <w:sz w:val="24"/>
                <w:highlight w:val="none"/>
              </w:rPr>
            </w:pPr>
            <w:r>
              <w:rPr>
                <w:rFonts w:eastAsia="仿宋_GB2312"/>
                <w:b/>
                <w:sz w:val="24"/>
                <w:highlight w:val="none"/>
              </w:rPr>
              <w:t>0.3</w:t>
            </w:r>
          </w:p>
        </w:tc>
        <w:tc>
          <w:tcPr>
            <w:tcW w:w="2237" w:type="dxa"/>
            <w:noWrap w:val="0"/>
            <w:vAlign w:val="center"/>
          </w:tcPr>
          <w:p>
            <w:pPr>
              <w:autoSpaceDE w:val="0"/>
              <w:autoSpaceDN w:val="0"/>
              <w:adjustRightInd w:val="0"/>
              <w:snapToGrid w:val="0"/>
              <w:spacing w:before="72" w:after="72"/>
              <w:jc w:val="center"/>
              <w:rPr>
                <w:rFonts w:eastAsia="仿宋_GB2312"/>
                <w:b/>
                <w:sz w:val="24"/>
                <w:highlight w:val="none"/>
              </w:rPr>
            </w:pPr>
            <w:r>
              <w:rPr>
                <w:rFonts w:eastAsia="仿宋_GB2312"/>
                <w:b/>
                <w:sz w:val="24"/>
                <w:highlight w:val="none"/>
              </w:rPr>
              <w:t>0.22</w:t>
            </w:r>
          </w:p>
        </w:tc>
      </w:tr>
    </w:tbl>
    <w:p>
      <w:pPr>
        <w:autoSpaceDE w:val="0"/>
        <w:autoSpaceDN w:val="0"/>
        <w:adjustRightInd w:val="0"/>
        <w:snapToGrid w:val="0"/>
        <w:ind w:firstLine="480" w:firstLineChars="200"/>
        <w:rPr>
          <w:rFonts w:hint="eastAsia" w:ascii="仿宋_GB2312" w:eastAsia="仿宋_GB2312"/>
          <w:sz w:val="24"/>
          <w:highlight w:val="none"/>
        </w:rPr>
      </w:pPr>
      <w:r>
        <w:rPr>
          <w:rFonts w:hint="eastAsia" w:ascii="仿宋_GB2312" w:eastAsia="仿宋_GB2312"/>
          <w:sz w:val="24"/>
          <w:highlight w:val="none"/>
        </w:rPr>
        <w:t>备注：住宅、办公和酒店用途地下建筑物楼层修正以对应地上用途的平均楼面地价</w:t>
      </w:r>
      <w:r>
        <w:rPr>
          <w:rFonts w:ascii="仿宋_GB2312" w:eastAsia="仿宋_GB2312"/>
          <w:sz w:val="24"/>
          <w:highlight w:val="none"/>
        </w:rPr>
        <w:t>进行修正。</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hYWRjZjJiZDljNDFhNTNkYWY2MjQwYWQ4YjBhMjUifQ=="/>
  </w:docVars>
  <w:rsids>
    <w:rsidRoot w:val="6DC145E2"/>
    <w:rsid w:val="6DC145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before="93" w:beforeLines="30" w:after="93" w:afterLines="30" w:line="300" w:lineRule="auto"/>
      <w:ind w:firstLine="480" w:firstLineChars="200"/>
    </w:pPr>
    <w:rPr>
      <w:rFonts w:eastAsia="仿宋_GB2312"/>
      <w:kern w:val="28"/>
      <w:sz w:val="24"/>
    </w:rPr>
  </w:style>
  <w:style w:type="paragraph" w:styleId="3">
    <w:name w:val="Title"/>
    <w:basedOn w:val="1"/>
    <w:next w:val="1"/>
    <w:qFormat/>
    <w:uiPriority w:val="0"/>
    <w:pPr>
      <w:spacing w:before="240" w:beforeLines="0" w:after="60" w:afterLines="0"/>
      <w:jc w:val="center"/>
      <w:outlineLvl w:val="0"/>
    </w:pPr>
    <w:rPr>
      <w:rFonts w:ascii="Arial" w:hAnsi="Arial" w:cs="Arial"/>
      <w:b/>
      <w:bCs/>
      <w:sz w:val="32"/>
      <w:szCs w:val="32"/>
    </w:rPr>
  </w:style>
  <w:style w:type="paragraph" w:styleId="4">
    <w:name w:val="Normal Indent"/>
    <w:basedOn w:val="1"/>
    <w:next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2024-11-19T04:27:00Z</dcterms:created>
  <dc:creator>凯瑟绿</dc:creator>
  <cp:lastModifiedBy>凯瑟绿</cp:lastModifiedBy>
  <dcterms:modified xsi:type="dcterms:W3CDTF">2024-11-19T04:28:00Z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19CD5DC435484784853857CBF5D97588_11</vt:lpwstr>
  </property>
</Properties>
</file>