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7258F">
      <w:pPr>
        <w:pStyle w:val="5"/>
        <w:widowControl/>
        <w:shd w:val="clear" w:color="auto" w:fill="FFFFFF"/>
        <w:spacing w:before="0" w:beforeAutospacing="0" w:after="0" w:afterAutospacing="0" w:line="579" w:lineRule="exact"/>
        <w:ind w:firstLine="0" w:firstLineChars="0"/>
        <w:outlineLvl w:val="0"/>
        <w:rPr>
          <w:rFonts w:hint="default" w:ascii="Times New Roman" w:hAnsi="Times New Roman" w:eastAsia="黑体" w:cs="Times New Roman"/>
          <w:color w:val="auto"/>
          <w:sz w:val="32"/>
          <w:highlight w:val="none"/>
          <w:shd w:val="clear" w:color="auto" w:fill="FFFFFF"/>
        </w:rPr>
      </w:pPr>
      <w:bookmarkStart w:id="1" w:name="_GoBack"/>
      <w:bookmarkStart w:id="0" w:name="_Toc29351"/>
      <w:r>
        <w:rPr>
          <w:rFonts w:hint="default" w:ascii="Times New Roman" w:hAnsi="Times New Roman" w:eastAsia="黑体" w:cs="Times New Roman"/>
          <w:color w:val="auto"/>
          <w:sz w:val="32"/>
          <w:highlight w:val="none"/>
          <w:shd w:val="clear" w:color="auto" w:fill="FFFFFF"/>
        </w:rPr>
        <w:t>附件</w:t>
      </w:r>
      <w:bookmarkEnd w:id="0"/>
    </w:p>
    <w:p w14:paraId="77747812">
      <w:pPr>
        <w:pStyle w:val="5"/>
        <w:widowControl/>
        <w:shd w:val="clear" w:color="auto" w:fill="FFFFFF"/>
        <w:spacing w:before="0" w:beforeAutospacing="0" w:after="0" w:afterAutospacing="0" w:line="579" w:lineRule="exact"/>
        <w:ind w:firstLine="640"/>
        <w:rPr>
          <w:rFonts w:hint="default" w:ascii="Times New Roman" w:hAnsi="Times New Roman" w:eastAsia="黑体" w:cs="Times New Roman"/>
          <w:color w:val="auto"/>
          <w:sz w:val="32"/>
          <w:highlight w:val="none"/>
          <w:shd w:val="clear" w:color="auto" w:fill="FFFFFF"/>
        </w:rPr>
      </w:pPr>
    </w:p>
    <w:p w14:paraId="5A19E84F">
      <w:pPr>
        <w:pStyle w:val="5"/>
        <w:widowControl/>
        <w:shd w:val="clear" w:color="auto" w:fill="FFFFFF"/>
        <w:spacing w:before="0" w:beforeAutospacing="0" w:after="0" w:afterAutospacing="0" w:line="579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FFFFFF"/>
        </w:rPr>
        <w:t>适用主营业务目录</w:t>
      </w:r>
    </w:p>
    <w:bookmarkEnd w:id="1"/>
    <w:p w14:paraId="085F04B9">
      <w:pPr>
        <w:pStyle w:val="5"/>
        <w:widowControl/>
        <w:shd w:val="clear" w:color="auto" w:fill="FFFFFF"/>
        <w:spacing w:before="0" w:beforeAutospacing="0" w:after="0" w:afterAutospacing="0" w:line="579" w:lineRule="exact"/>
        <w:ind w:firstLine="640"/>
        <w:rPr>
          <w:rFonts w:hint="default" w:ascii="Times New Roman" w:hAnsi="Times New Roman" w:cs="Times New Roman"/>
          <w:color w:val="auto"/>
          <w:sz w:val="32"/>
          <w:highlight w:val="none"/>
          <w:shd w:val="clear" w:color="auto" w:fill="FFFFFF"/>
        </w:rPr>
      </w:pPr>
    </w:p>
    <w:p w14:paraId="16B80A07">
      <w:pPr>
        <w:ind w:firstLine="64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1.设计及支撑工具。主要包括集成电路及半导体产品设计及服务，芯片设计平台（EDA工具）及配套IP库；</w:t>
      </w:r>
    </w:p>
    <w:p w14:paraId="513195FB">
      <w:pPr>
        <w:ind w:firstLine="64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2.制造。主要包括线宽九十纳米及以下大规模数字集成电路制造，零点五微米及以下特色工艺集成电路或半导体器件制造，TFT半导体器件制造；</w:t>
      </w:r>
    </w:p>
    <w:p w14:paraId="503EEAA0">
      <w:pPr>
        <w:ind w:firstLine="64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3.封装测试。主要包括晶圆级封装、系统级封装（SiP）、芯片级封装（CSP）、圆片级封装（WLP）、倒装封装（Flip Chip）、球栅阵列封装（BGA）、硅通孔（TSV）、三维封装（3D）、Chiplet（芯粒）、FOG（软排线对TFT玻璃板）等先进封装和测试技术的开发及产业化；</w:t>
      </w:r>
    </w:p>
    <w:p w14:paraId="13798D4D">
      <w:pPr>
        <w:ind w:firstLine="64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4.材料。主要包括八英寸/十二英寸集成电路硅片、绝缘体上硅（SOI）、SiC、GaN、Pyrex glass（无碱硼硅玻璃）等化合物半导体材料，光刻胶、靶材、电子特气、抛光及研磨材料、封装材料等；</w:t>
      </w:r>
    </w:p>
    <w:p w14:paraId="4AEC36BE">
      <w:pPr>
        <w:ind w:firstLine="64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5.设备及零部件。主要包括半导体前道制造设备（含软件）、后道封装及测试设备（含软件）以及其他半导体设备（含软件）及关键零部件。</w:t>
      </w:r>
    </w:p>
    <w:p w14:paraId="1FE49F54">
      <w:pPr>
        <w:pStyle w:val="2"/>
        <w:spacing w:line="579" w:lineRule="exact"/>
        <w:ind w:left="640" w:firstLine="640"/>
        <w:rPr>
          <w:rFonts w:hint="default" w:ascii="Times New Roman" w:hAnsi="Times New Roman" w:cs="Times New Roman"/>
          <w:color w:val="auto"/>
          <w:highlight w:val="none"/>
        </w:rPr>
      </w:pPr>
    </w:p>
    <w:p w14:paraId="6DC7C8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2312D"/>
    <w:rsid w:val="7F32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2025-05-30T08:28:00Z</dcterms:created>
  <dc:creator>凯瑟绿</dc:creator>
  <cp:lastModifiedBy>凯瑟绿</cp:lastModifiedBy>
  <dcterms:modified xsi:type="dcterms:W3CDTF">2025-05-30T08:28:37Z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4E684D1FE5AF4B1E9A606727893B7DBA_11</vt:lpwstr>
  </property>
  <property fmtid="{D5CDD505-2E9C-101B-9397-08002B2CF9AE}" pid="4" name="KSOTemplateDocerSaveRecord">
    <vt:lpwstr>eyJoZGlkIjoiOTI5NDJjNjQxN2Q0MDBiOWFlODAyM2I2YWQ1M2NiZDkiLCJ1c2VySWQiOiIxMjE5Mzg3MTc0In0=</vt:lpwstr>
  </property>
</Properties>
</file>